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03EFA" w:rsidTr="00886D0D">
        <w:tc>
          <w:tcPr>
            <w:tcW w:w="101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3EFA" w:rsidRDefault="00003EFA" w:rsidP="00886D0D">
            <w:pPr>
              <w:widowControl w:val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03EFA" w:rsidRPr="00FA45C2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30828E" wp14:editId="790D714D">
                  <wp:extent cx="609600" cy="771525"/>
                  <wp:effectExtent l="0" t="0" r="0" b="9525"/>
                  <wp:docPr id="3" name="Рисунок 3" descr="ed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75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72"/>
                <w:szCs w:val="72"/>
              </w:rPr>
            </w:pP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72"/>
                <w:szCs w:val="72"/>
              </w:rPr>
            </w:pPr>
          </w:p>
          <w:p w:rsidR="00003EFA" w:rsidRPr="00DC1628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52"/>
                <w:szCs w:val="52"/>
              </w:rPr>
            </w:pPr>
            <w:r w:rsidRPr="00DC1628">
              <w:rPr>
                <w:rFonts w:ascii="Times New Roman" w:eastAsia="Times New Roman" w:hAnsi="Times New Roman" w:cs="Times New Roman"/>
                <w:b/>
                <w:bCs/>
                <w:i/>
                <w:sz w:val="52"/>
                <w:szCs w:val="52"/>
              </w:rPr>
              <w:t>Доклад</w:t>
            </w:r>
          </w:p>
          <w:p w:rsidR="00003EFA" w:rsidRPr="00DC1628" w:rsidRDefault="00003EFA" w:rsidP="00886D0D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Главы городского округа</w:t>
            </w:r>
          </w:p>
          <w:p w:rsidR="00003EFA" w:rsidRDefault="00003EFA" w:rsidP="00886D0D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город Ханты-Мансийск </w:t>
            </w:r>
          </w:p>
          <w:p w:rsidR="00003EFA" w:rsidRDefault="00003EFA" w:rsidP="00886D0D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о достиг</w:t>
            </w: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нутых значениях показателей для </w:t>
            </w: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оценки эффективности деятельности органов</w:t>
            </w:r>
            <w:r w:rsidR="00886D0D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местного самоуправления за 2019</w:t>
            </w: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год и их планируемых значен</w:t>
            </w:r>
            <w:bookmarkStart w:id="0" w:name="_GoBack"/>
            <w:bookmarkEnd w:id="0"/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иях на 3-летний период</w:t>
            </w:r>
          </w:p>
          <w:p w:rsidR="00003EFA" w:rsidRDefault="00003EFA" w:rsidP="00886D0D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003EFA" w:rsidRPr="00DC1628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72"/>
                <w:szCs w:val="72"/>
                <w:highlight w:val="yellow"/>
                <w:lang w:eastAsia="x-none"/>
              </w:rPr>
            </w:pP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3EFA" w:rsidRPr="00FA45C2" w:rsidRDefault="00003EFA" w:rsidP="00886D0D">
            <w:pPr>
              <w:widowControl w:val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_____________/</w:t>
            </w:r>
            <w:r w:rsidR="00886D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М.П. </w:t>
            </w:r>
            <w:proofErr w:type="spellStart"/>
            <w:r w:rsidR="00886D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Ряшин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</w:p>
          <w:p w:rsidR="00003EFA" w:rsidRPr="00FA45C2" w:rsidRDefault="00886D0D" w:rsidP="00886D0D">
            <w:pPr>
              <w:widowControl w:val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Глава</w:t>
            </w:r>
            <w:r w:rsidR="00003EFA" w:rsidRPr="00FA45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 Ханты-Мансийска</w:t>
            </w:r>
          </w:p>
          <w:p w:rsidR="00003EFA" w:rsidRDefault="00D554CC" w:rsidP="00886D0D">
            <w:pPr>
              <w:widowControl w:val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«30</w:t>
            </w:r>
            <w:r w:rsidR="00886D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апреля 2020</w:t>
            </w:r>
            <w:r w:rsidR="00003E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03EFA" w:rsidRDefault="00003EFA" w:rsidP="00EB770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EFA" w:rsidRDefault="00003EFA" w:rsidP="00EB770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EFA" w:rsidRDefault="00003EFA" w:rsidP="00EB770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7702" w:rsidRPr="00FE0342" w:rsidRDefault="00EB7702" w:rsidP="00EB770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034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Доклад</w:t>
      </w:r>
    </w:p>
    <w:p w:rsidR="00EB7702" w:rsidRPr="00FE0342" w:rsidRDefault="00EB7702" w:rsidP="00EB7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42">
        <w:rPr>
          <w:rFonts w:ascii="Times New Roman" w:hAnsi="Times New Roman" w:cs="Times New Roman"/>
          <w:b/>
          <w:sz w:val="28"/>
          <w:szCs w:val="28"/>
        </w:rPr>
        <w:t>Главы городского округа</w:t>
      </w:r>
    </w:p>
    <w:p w:rsidR="00EB7702" w:rsidRPr="00FE0342" w:rsidRDefault="00EB7702" w:rsidP="00EB7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42">
        <w:rPr>
          <w:rFonts w:ascii="Times New Roman" w:hAnsi="Times New Roman" w:cs="Times New Roman"/>
          <w:b/>
          <w:sz w:val="28"/>
          <w:szCs w:val="28"/>
        </w:rPr>
        <w:t>город Ханты-Мансийск о достигнутых значениях показателей для</w:t>
      </w:r>
    </w:p>
    <w:p w:rsidR="00EB7702" w:rsidRDefault="00EB7702" w:rsidP="00EB7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42">
        <w:rPr>
          <w:rFonts w:ascii="Times New Roman" w:hAnsi="Times New Roman" w:cs="Times New Roman"/>
          <w:b/>
          <w:sz w:val="28"/>
          <w:szCs w:val="28"/>
        </w:rPr>
        <w:t>оценки эффективности деятельности органов местного самоуправления за 201</w:t>
      </w:r>
      <w:r w:rsidR="00886D0D">
        <w:rPr>
          <w:rFonts w:ascii="Times New Roman" w:hAnsi="Times New Roman" w:cs="Times New Roman"/>
          <w:b/>
          <w:sz w:val="28"/>
          <w:szCs w:val="28"/>
        </w:rPr>
        <w:t>9</w:t>
      </w:r>
      <w:r w:rsidRPr="00FE0342">
        <w:rPr>
          <w:rFonts w:ascii="Times New Roman" w:hAnsi="Times New Roman" w:cs="Times New Roman"/>
          <w:b/>
          <w:sz w:val="28"/>
          <w:szCs w:val="28"/>
        </w:rPr>
        <w:t xml:space="preserve"> год и их планируемых значениях на 3-летний период</w:t>
      </w:r>
    </w:p>
    <w:p w:rsidR="00EB7702" w:rsidRPr="00FE0342" w:rsidRDefault="00EB7702" w:rsidP="00EB7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129" w:rsidRDefault="00FD7129" w:rsidP="00207D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6D0D" w:rsidRPr="00886D0D" w:rsidRDefault="00886D0D" w:rsidP="00886D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D0D">
        <w:rPr>
          <w:rFonts w:ascii="Times New Roman" w:eastAsia="Calibri" w:hAnsi="Times New Roman" w:cs="Times New Roman"/>
          <w:sz w:val="28"/>
          <w:szCs w:val="28"/>
        </w:rPr>
        <w:t>Основные показатели, характеризующие социально-экономическое положение города Ханты-Мансийска за 2019 год, демонстрируют положительную динамику и свидетельствуют о сохранении социальной стабильности и поступательном экономическом развитии, в том числе создании благоприятных инвестиционных условий для малого и среднего бизнеса.</w:t>
      </w:r>
    </w:p>
    <w:p w:rsidR="00EB7702" w:rsidRPr="0013502F" w:rsidRDefault="00EB7702" w:rsidP="00207D0D">
      <w:pPr>
        <w:spacing w:after="0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7702" w:rsidRPr="0013502F" w:rsidRDefault="00EB7702" w:rsidP="00207D0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Демографическая ситуация</w:t>
      </w:r>
    </w:p>
    <w:p w:rsidR="00EB7702" w:rsidRPr="0013502F" w:rsidRDefault="00EB7702" w:rsidP="00207D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702" w:rsidRDefault="00EB7702" w:rsidP="00207D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данным Управления Федеральной службы государственной статистики по Тюменской области, Ханты-Мансийскому автономному округу Югре и Ямало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63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Ненецкому автономному округу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3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служба статистики)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123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реднегодовая численность постоянного населения по </w:t>
      </w:r>
      <w:r w:rsidR="00886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данным за 2019</w:t>
      </w:r>
      <w:r w:rsidRPr="00123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состав</w:t>
      </w:r>
      <w:r w:rsidR="0080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ила</w:t>
      </w:r>
      <w:r w:rsidRPr="00123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6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100,4</w:t>
      </w:r>
      <w:r w:rsidRPr="00123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человек</w:t>
      </w:r>
      <w:r w:rsidR="00886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101,5</w:t>
      </w:r>
      <w:r w:rsidRPr="00123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уровню прошлого года. </w:t>
      </w:r>
    </w:p>
    <w:p w:rsidR="00EB7702" w:rsidRDefault="00EB7702" w:rsidP="00207D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Фактором сохранения демографического потенциала продолжает оставаться естественный прирост населения, который по данным службы стати</w:t>
      </w:r>
      <w:r w:rsidR="00886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стики по состоянию на 01.01.2020 года составил 697</w:t>
      </w:r>
      <w:r w:rsidRPr="00A15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чел. Количество родившихся </w:t>
      </w:r>
      <w:r w:rsidR="00886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 на 01.01.2020</w:t>
      </w:r>
      <w:r w:rsidR="00D73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составило 1</w:t>
      </w:r>
      <w:r w:rsidR="00D1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6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209</w:t>
      </w:r>
      <w:r w:rsidRPr="00A15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чел. Коэфф</w:t>
      </w:r>
      <w:r w:rsidR="00886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ициент рождаемости составил 12,0</w:t>
      </w:r>
      <w:r w:rsidRPr="00A15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промилле</w:t>
      </w:r>
      <w:r w:rsidR="00D73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15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рождаемости населения города Ханты-Мансийска превы</w:t>
      </w:r>
      <w:r w:rsidR="00886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шают показатели смертности в 2,4</w:t>
      </w:r>
      <w:r w:rsidRPr="00A15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73FCB" w:rsidRPr="00A42372" w:rsidRDefault="00D73FCB" w:rsidP="00207D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2BD">
        <w:rPr>
          <w:rFonts w:ascii="Times New Roman" w:eastAsia="Calibri" w:hAnsi="Times New Roman" w:cs="Times New Roman"/>
          <w:sz w:val="28"/>
          <w:szCs w:val="28"/>
        </w:rPr>
        <w:t xml:space="preserve">В структуре населения города удельный вес лиц </w:t>
      </w:r>
      <w:r w:rsidR="00D11ABC">
        <w:rPr>
          <w:rFonts w:ascii="Times New Roman" w:eastAsia="Calibri" w:hAnsi="Times New Roman" w:cs="Times New Roman"/>
          <w:sz w:val="28"/>
          <w:szCs w:val="28"/>
        </w:rPr>
        <w:t>трудоспособного возраста</w:t>
      </w:r>
      <w:r w:rsidR="00886D0D">
        <w:rPr>
          <w:rFonts w:ascii="Times New Roman" w:eastAsia="Calibri" w:hAnsi="Times New Roman" w:cs="Times New Roman"/>
          <w:sz w:val="28"/>
          <w:szCs w:val="28"/>
        </w:rPr>
        <w:t xml:space="preserve"> состав</w:t>
      </w:r>
      <w:r w:rsidR="000060AA">
        <w:rPr>
          <w:rFonts w:ascii="Times New Roman" w:eastAsia="Calibri" w:hAnsi="Times New Roman" w:cs="Times New Roman"/>
          <w:sz w:val="28"/>
          <w:szCs w:val="28"/>
        </w:rPr>
        <w:t>ил</w:t>
      </w:r>
      <w:r w:rsidR="00886D0D">
        <w:rPr>
          <w:rFonts w:ascii="Times New Roman" w:eastAsia="Calibri" w:hAnsi="Times New Roman" w:cs="Times New Roman"/>
          <w:sz w:val="28"/>
          <w:szCs w:val="28"/>
        </w:rPr>
        <w:t xml:space="preserve"> – 64,2</w:t>
      </w:r>
      <w:r w:rsidRPr="00F742BD">
        <w:rPr>
          <w:rFonts w:ascii="Times New Roman" w:eastAsia="Calibri" w:hAnsi="Times New Roman" w:cs="Times New Roman"/>
          <w:sz w:val="28"/>
          <w:szCs w:val="28"/>
        </w:rPr>
        <w:t>%, доля лиц моложе</w:t>
      </w:r>
      <w:r w:rsidR="00886D0D">
        <w:rPr>
          <w:rFonts w:ascii="Times New Roman" w:eastAsia="Calibri" w:hAnsi="Times New Roman" w:cs="Times New Roman"/>
          <w:sz w:val="28"/>
          <w:szCs w:val="28"/>
        </w:rPr>
        <w:t xml:space="preserve"> трудоспособного возраста – 22,3</w:t>
      </w:r>
      <w:r w:rsidRPr="00F742BD">
        <w:rPr>
          <w:rFonts w:ascii="Times New Roman" w:eastAsia="Calibri" w:hAnsi="Times New Roman" w:cs="Times New Roman"/>
          <w:sz w:val="28"/>
          <w:szCs w:val="28"/>
        </w:rPr>
        <w:t xml:space="preserve"> %, доля граждан старше трудоспособного </w:t>
      </w:r>
      <w:r w:rsidR="00886D0D">
        <w:rPr>
          <w:rFonts w:ascii="Times New Roman" w:eastAsia="Calibri" w:hAnsi="Times New Roman" w:cs="Times New Roman"/>
          <w:sz w:val="28"/>
          <w:szCs w:val="28"/>
        </w:rPr>
        <w:t>возраста – 13,5</w:t>
      </w:r>
      <w:r w:rsidRPr="00A42372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335B1" w:rsidRDefault="00EB7702" w:rsidP="00207D0D">
      <w:pPr>
        <w:widowControl w:val="0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02F">
        <w:rPr>
          <w:rFonts w:ascii="Times New Roman" w:eastAsia="Calibri" w:hAnsi="Times New Roman" w:cs="Times New Roman"/>
          <w:sz w:val="28"/>
          <w:szCs w:val="28"/>
        </w:rPr>
        <w:t>Положительные резу</w:t>
      </w:r>
      <w:r>
        <w:rPr>
          <w:rFonts w:ascii="Times New Roman" w:eastAsia="Calibri" w:hAnsi="Times New Roman" w:cs="Times New Roman"/>
          <w:sz w:val="28"/>
          <w:szCs w:val="28"/>
        </w:rPr>
        <w:t>льтаты демографической ситуации</w:t>
      </w:r>
      <w:r w:rsidRPr="0013502F">
        <w:rPr>
          <w:rFonts w:ascii="Times New Roman" w:eastAsia="Calibri" w:hAnsi="Times New Roman" w:cs="Times New Roman"/>
          <w:sz w:val="28"/>
          <w:szCs w:val="28"/>
        </w:rPr>
        <w:t xml:space="preserve"> обусловлены принимаемыми мерами государственной и муниципальной социальной поддержки.  </w:t>
      </w:r>
    </w:p>
    <w:p w:rsidR="0045049C" w:rsidRDefault="0045049C" w:rsidP="00207D0D">
      <w:pPr>
        <w:widowControl w:val="0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35B1" w:rsidRPr="00A42372" w:rsidRDefault="00C335B1" w:rsidP="00207D0D">
      <w:pPr>
        <w:pStyle w:val="3"/>
        <w:spacing w:before="0" w:line="276" w:lineRule="auto"/>
        <w:rPr>
          <w:rFonts w:eastAsia="Calibri"/>
        </w:rPr>
      </w:pPr>
      <w:bookmarkStart w:id="1" w:name="_Toc533760000"/>
      <w:bookmarkStart w:id="2" w:name="_Toc535576494"/>
      <w:r w:rsidRPr="00A42372">
        <w:rPr>
          <w:rFonts w:eastAsia="Calibri"/>
        </w:rPr>
        <w:t>1.2. Промышленность</w:t>
      </w:r>
      <w:bookmarkEnd w:id="1"/>
      <w:bookmarkEnd w:id="2"/>
    </w:p>
    <w:p w:rsidR="00C335B1" w:rsidRPr="00A42372" w:rsidRDefault="00C335B1" w:rsidP="00207D0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335B1" w:rsidRDefault="00A94A05" w:rsidP="00207D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</w:t>
      </w:r>
      <w:r w:rsidRPr="0079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</w:t>
      </w:r>
      <w:r w:rsidRPr="0079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крупным и средним предприятиям города за </w:t>
      </w:r>
      <w:r w:rsidR="00886D0D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9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составил  </w:t>
      </w:r>
      <w:r w:rsidR="00886D0D">
        <w:rPr>
          <w:rFonts w:ascii="Times New Roman" w:eastAsia="Times New Roman" w:hAnsi="Times New Roman" w:cs="Times New Roman"/>
          <w:sz w:val="28"/>
          <w:szCs w:val="28"/>
          <w:lang w:eastAsia="ru-RU"/>
        </w:rPr>
        <w:t>28296,3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Pr="0079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D0D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79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2018 года (14 698,9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Pr="00794D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2BF" w:rsidRPr="002512BF" w:rsidRDefault="00C06BFA" w:rsidP="00207D0D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BFA">
        <w:rPr>
          <w:rFonts w:ascii="Times New Roman" w:hAnsi="Times New Roman" w:cs="Times New Roman"/>
          <w:bCs/>
          <w:sz w:val="28"/>
          <w:szCs w:val="28"/>
        </w:rPr>
        <w:lastRenderedPageBreak/>
        <w:t>Доля объемов производства предприятий, занимающихся обеспечением электрической энергией, газом и паром, кондиционированием воздуха; обеспечением водоснабжения, водоотведения, организацией сбора и утилизацией отходов, деятельностью по ликвидации загрязнений состав</w:t>
      </w:r>
      <w:r w:rsidR="008053C5">
        <w:rPr>
          <w:rFonts w:ascii="Times New Roman" w:hAnsi="Times New Roman" w:cs="Times New Roman"/>
          <w:bCs/>
          <w:sz w:val="28"/>
          <w:szCs w:val="28"/>
        </w:rPr>
        <w:t>ила</w:t>
      </w:r>
      <w:r w:rsidR="002512BF" w:rsidRPr="002512B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F6534">
        <w:rPr>
          <w:rFonts w:ascii="Times New Roman" w:hAnsi="Times New Roman" w:cs="Times New Roman"/>
          <w:bCs/>
          <w:sz w:val="28"/>
          <w:szCs w:val="28"/>
        </w:rPr>
        <w:t>44</w:t>
      </w:r>
      <w:r w:rsidR="002512BF" w:rsidRPr="002512BF">
        <w:rPr>
          <w:rFonts w:ascii="Times New Roman" w:hAnsi="Times New Roman" w:cs="Times New Roman"/>
          <w:bCs/>
          <w:sz w:val="28"/>
          <w:szCs w:val="28"/>
        </w:rPr>
        <w:t>% (</w:t>
      </w:r>
      <w:r w:rsidR="008F6534">
        <w:rPr>
          <w:rFonts w:ascii="Times New Roman" w:hAnsi="Times New Roman" w:cs="Times New Roman"/>
          <w:bCs/>
          <w:sz w:val="28"/>
          <w:szCs w:val="28"/>
        </w:rPr>
        <w:t>2018</w:t>
      </w:r>
      <w:r w:rsidR="00207D0D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F6534">
        <w:rPr>
          <w:rFonts w:ascii="Times New Roman" w:hAnsi="Times New Roman" w:cs="Times New Roman"/>
          <w:bCs/>
          <w:sz w:val="28"/>
          <w:szCs w:val="28"/>
        </w:rPr>
        <w:t xml:space="preserve"> – 79</w:t>
      </w:r>
      <w:r w:rsidR="002512BF" w:rsidRPr="002512BF">
        <w:rPr>
          <w:rFonts w:ascii="Times New Roman" w:hAnsi="Times New Roman" w:cs="Times New Roman"/>
          <w:bCs/>
          <w:sz w:val="28"/>
          <w:szCs w:val="28"/>
        </w:rPr>
        <w:t>%). Большинство предприятий, осуществляющих данный вид экономической деятельности, по своим функциям относятся к предприятиям жилищно-коммунального комплекса. Объемы про</w:t>
      </w:r>
      <w:r w:rsidR="008F6534">
        <w:rPr>
          <w:rFonts w:ascii="Times New Roman" w:hAnsi="Times New Roman" w:cs="Times New Roman"/>
          <w:bCs/>
          <w:sz w:val="28"/>
          <w:szCs w:val="28"/>
        </w:rPr>
        <w:t>изводства за январь-декабрь 2019</w:t>
      </w:r>
      <w:r w:rsidR="002512BF" w:rsidRPr="002512BF">
        <w:rPr>
          <w:rFonts w:ascii="Times New Roman" w:hAnsi="Times New Roman" w:cs="Times New Roman"/>
          <w:bCs/>
          <w:sz w:val="28"/>
          <w:szCs w:val="28"/>
        </w:rPr>
        <w:t xml:space="preserve"> года составили</w:t>
      </w:r>
      <w:r w:rsidR="0047366A">
        <w:rPr>
          <w:rFonts w:ascii="Times New Roman" w:hAnsi="Times New Roman" w:cs="Times New Roman"/>
          <w:bCs/>
          <w:sz w:val="28"/>
          <w:szCs w:val="28"/>
        </w:rPr>
        <w:t xml:space="preserve"> 12 412,3</w:t>
      </w:r>
      <w:r w:rsidR="002512BF" w:rsidRPr="002512BF">
        <w:rPr>
          <w:rFonts w:ascii="Times New Roman" w:hAnsi="Times New Roman" w:cs="Times New Roman"/>
          <w:bCs/>
          <w:sz w:val="28"/>
          <w:szCs w:val="28"/>
        </w:rPr>
        <w:t xml:space="preserve"> млн. руб. или 1</w:t>
      </w:r>
      <w:r w:rsidR="0047366A">
        <w:rPr>
          <w:rFonts w:ascii="Times New Roman" w:hAnsi="Times New Roman" w:cs="Times New Roman"/>
          <w:bCs/>
          <w:sz w:val="28"/>
          <w:szCs w:val="28"/>
        </w:rPr>
        <w:t>07,5</w:t>
      </w:r>
      <w:r w:rsidR="002512BF" w:rsidRPr="002512BF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62732B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2512BF" w:rsidRPr="002512BF">
        <w:rPr>
          <w:rFonts w:ascii="Times New Roman" w:hAnsi="Times New Roman" w:cs="Times New Roman"/>
          <w:bCs/>
          <w:sz w:val="28"/>
          <w:szCs w:val="28"/>
        </w:rPr>
        <w:t>201</w:t>
      </w:r>
      <w:r w:rsidR="0047366A">
        <w:rPr>
          <w:rFonts w:ascii="Times New Roman" w:hAnsi="Times New Roman" w:cs="Times New Roman"/>
          <w:bCs/>
          <w:sz w:val="28"/>
          <w:szCs w:val="28"/>
        </w:rPr>
        <w:t>8</w:t>
      </w:r>
      <w:r w:rsidR="0062732B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2512BF" w:rsidRPr="002512B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F6534" w:rsidRPr="002512BF">
        <w:rPr>
          <w:rFonts w:ascii="Times New Roman" w:hAnsi="Times New Roman" w:cs="Times New Roman"/>
          <w:bCs/>
          <w:sz w:val="28"/>
          <w:szCs w:val="28"/>
        </w:rPr>
        <w:t>11</w:t>
      </w:r>
      <w:r w:rsidR="008F65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6534" w:rsidRPr="002512BF">
        <w:rPr>
          <w:rFonts w:ascii="Times New Roman" w:hAnsi="Times New Roman" w:cs="Times New Roman"/>
          <w:bCs/>
          <w:sz w:val="28"/>
          <w:szCs w:val="28"/>
        </w:rPr>
        <w:t xml:space="preserve">551,6 </w:t>
      </w:r>
      <w:r w:rsidR="002512BF" w:rsidRPr="002512BF">
        <w:rPr>
          <w:rFonts w:ascii="Times New Roman" w:hAnsi="Times New Roman" w:cs="Times New Roman"/>
          <w:bCs/>
          <w:sz w:val="28"/>
          <w:szCs w:val="28"/>
        </w:rPr>
        <w:t>млн. руб.).</w:t>
      </w:r>
    </w:p>
    <w:p w:rsidR="00C335B1" w:rsidRPr="00296F8A" w:rsidRDefault="00C335B1" w:rsidP="00207D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6F8A">
        <w:rPr>
          <w:rFonts w:ascii="Times New Roman" w:eastAsia="Calibri" w:hAnsi="Times New Roman" w:cs="Times New Roman"/>
          <w:sz w:val="28"/>
          <w:szCs w:val="28"/>
          <w:lang w:eastAsia="ru-RU"/>
        </w:rPr>
        <w:t>Объем отгруженных товаров, выполненных работ и услуг предприятиями обрабатывающей отрасли за 201</w:t>
      </w:r>
      <w:r w:rsidR="0045049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296F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C06BFA">
        <w:rPr>
          <w:rFonts w:ascii="Times New Roman" w:eastAsia="Calibri" w:hAnsi="Times New Roman" w:cs="Times New Roman"/>
          <w:sz w:val="28"/>
          <w:szCs w:val="28"/>
          <w:lang w:eastAsia="ru-RU"/>
        </w:rPr>
        <w:t>од состав</w:t>
      </w:r>
      <w:r w:rsidR="008053C5">
        <w:rPr>
          <w:rFonts w:ascii="Times New Roman" w:eastAsia="Calibri" w:hAnsi="Times New Roman" w:cs="Times New Roman"/>
          <w:sz w:val="28"/>
          <w:szCs w:val="28"/>
          <w:lang w:eastAsia="ru-RU"/>
        </w:rPr>
        <w:t>ил</w:t>
      </w:r>
      <w:r w:rsidR="00C06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613,3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 рублей </w:t>
      </w:r>
      <w:r w:rsidR="00C06BFA">
        <w:rPr>
          <w:rFonts w:ascii="Times New Roman" w:eastAsia="Calibri" w:hAnsi="Times New Roman" w:cs="Times New Roman"/>
          <w:sz w:val="28"/>
          <w:szCs w:val="28"/>
          <w:lang w:eastAsia="ru-RU"/>
        </w:rPr>
        <w:t>или 116,7% к 2018 году (525,5</w:t>
      </w:r>
      <w:r w:rsidRPr="00296F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 рублей). </w:t>
      </w:r>
    </w:p>
    <w:p w:rsidR="00C335B1" w:rsidRDefault="00C335B1" w:rsidP="00207D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B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Обрабатывающие производства включают: </w:t>
      </w:r>
      <w:r w:rsidRPr="00261B92">
        <w:rPr>
          <w:rFonts w:ascii="Times New Roman" w:eastAsia="Calibri" w:hAnsi="Times New Roman" w:cs="Times New Roman"/>
          <w:sz w:val="28"/>
          <w:szCs w:val="28"/>
        </w:rPr>
        <w:t xml:space="preserve">производство пищевых продуктов, </w:t>
      </w:r>
      <w:r w:rsidR="00FD7129" w:rsidRPr="00261B92">
        <w:rPr>
          <w:rFonts w:ascii="Times New Roman" w:eastAsia="Calibri" w:hAnsi="Times New Roman" w:cs="Times New Roman"/>
          <w:sz w:val="28"/>
          <w:szCs w:val="28"/>
        </w:rPr>
        <w:t>производство прочей неметаллической минеральной продукции,</w:t>
      </w:r>
      <w:r w:rsidR="00FD71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B92">
        <w:rPr>
          <w:rFonts w:ascii="Times New Roman" w:eastAsia="Calibri" w:hAnsi="Times New Roman" w:cs="Times New Roman"/>
          <w:sz w:val="28"/>
          <w:szCs w:val="28"/>
        </w:rPr>
        <w:t>ремонт и монтаж машин и оборудования</w:t>
      </w:r>
      <w:r w:rsidR="00270850" w:rsidRPr="002708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0850">
        <w:rPr>
          <w:rFonts w:ascii="Times New Roman" w:eastAsia="Calibri" w:hAnsi="Times New Roman" w:cs="Times New Roman"/>
          <w:sz w:val="28"/>
          <w:szCs w:val="28"/>
        </w:rPr>
        <w:t>полиграфическую</w:t>
      </w:r>
      <w:r w:rsidR="00270850" w:rsidRPr="00261B92">
        <w:rPr>
          <w:rFonts w:ascii="Times New Roman" w:eastAsia="Calibri" w:hAnsi="Times New Roman" w:cs="Times New Roman"/>
          <w:sz w:val="28"/>
          <w:szCs w:val="28"/>
        </w:rPr>
        <w:t xml:space="preserve"> деятельность</w:t>
      </w:r>
      <w:r w:rsidRPr="00261B9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06BFA" w:rsidRPr="00C06BFA" w:rsidRDefault="00C335B1" w:rsidP="00C06B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C1">
        <w:rPr>
          <w:rFonts w:ascii="Times New Roman" w:eastAsia="Calibri" w:hAnsi="Times New Roman" w:cs="Times New Roman"/>
          <w:bCs/>
          <w:sz w:val="28"/>
          <w:szCs w:val="28"/>
        </w:rPr>
        <w:t>Предприятиями местной промышленности выпускается продукция</w:t>
      </w:r>
      <w:r w:rsidR="0099071C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781B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как </w:t>
      </w:r>
      <w:r w:rsidRPr="00781BC1">
        <w:rPr>
          <w:rFonts w:ascii="Times New Roman" w:eastAsia="Calibri" w:hAnsi="Times New Roman" w:cs="Times New Roman"/>
          <w:bCs/>
          <w:sz w:val="28"/>
          <w:szCs w:val="28"/>
        </w:rPr>
        <w:t>для внутреннего потребления</w:t>
      </w:r>
      <w:r w:rsidR="0052150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781B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так и </w:t>
      </w:r>
      <w:r w:rsidR="0052150F">
        <w:rPr>
          <w:rFonts w:ascii="Times New Roman" w:eastAsia="Calibri" w:hAnsi="Times New Roman" w:cs="Times New Roman"/>
          <w:bCs/>
          <w:sz w:val="28"/>
          <w:szCs w:val="28"/>
        </w:rPr>
        <w:t xml:space="preserve">продукция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для</w:t>
      </w:r>
      <w:r w:rsidRPr="00781BC1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 пределами</w:t>
      </w:r>
      <w:r w:rsidRPr="00781BC1">
        <w:rPr>
          <w:rFonts w:ascii="Times New Roman" w:eastAsia="Calibri" w:hAnsi="Times New Roman" w:cs="Times New Roman"/>
          <w:bCs/>
          <w:sz w:val="28"/>
          <w:szCs w:val="28"/>
        </w:rPr>
        <w:t xml:space="preserve"> города. Объемы производства в натуральных показателях отдельны</w:t>
      </w:r>
      <w:r w:rsidR="00C06BFA">
        <w:rPr>
          <w:rFonts w:ascii="Times New Roman" w:eastAsia="Calibri" w:hAnsi="Times New Roman" w:cs="Times New Roman"/>
          <w:bCs/>
          <w:sz w:val="28"/>
          <w:szCs w:val="28"/>
        </w:rPr>
        <w:t>х видов продукции по итогам 2019</w:t>
      </w:r>
      <w:r w:rsidRPr="00781BC1">
        <w:rPr>
          <w:rFonts w:ascii="Times New Roman" w:eastAsia="Calibri" w:hAnsi="Times New Roman" w:cs="Times New Roman"/>
          <w:bCs/>
          <w:sz w:val="28"/>
          <w:szCs w:val="28"/>
        </w:rPr>
        <w:t xml:space="preserve"> года характеризуются </w:t>
      </w:r>
      <w:r w:rsidRPr="00781BC1">
        <w:rPr>
          <w:rFonts w:ascii="Times New Roman" w:eastAsia="Calibri" w:hAnsi="Times New Roman" w:cs="Times New Roman"/>
          <w:sz w:val="28"/>
          <w:szCs w:val="28"/>
          <w:lang w:eastAsia="ru-RU"/>
        </w:rPr>
        <w:t>ув</w:t>
      </w:r>
      <w:r w:rsidR="00C06BFA">
        <w:rPr>
          <w:rFonts w:ascii="Times New Roman" w:eastAsia="Calibri" w:hAnsi="Times New Roman" w:cs="Times New Roman"/>
          <w:sz w:val="28"/>
          <w:szCs w:val="28"/>
          <w:lang w:eastAsia="ru-RU"/>
        </w:rPr>
        <w:t>еличением к прошлому году более чем в 2 раза</w:t>
      </w:r>
      <w:r w:rsidRPr="00781B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производству кондитерских изделий и сохранением темпов объема производства </w:t>
      </w:r>
      <w:r w:rsidR="00C06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хлеба, </w:t>
      </w:r>
      <w:r w:rsidRPr="00A42372">
        <w:rPr>
          <w:rFonts w:ascii="Times New Roman" w:eastAsia="Calibri" w:hAnsi="Times New Roman" w:cs="Times New Roman"/>
          <w:sz w:val="28"/>
          <w:szCs w:val="28"/>
          <w:lang w:eastAsia="ru-RU"/>
        </w:rPr>
        <w:t>хлебобулочных изделий</w:t>
      </w:r>
      <w:r w:rsidR="00C06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питьевой воды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06BFA" w:rsidRPr="00C06BFA" w:rsidRDefault="00C06BFA" w:rsidP="00C06BFA"/>
    <w:p w:rsidR="00FF7C16" w:rsidRPr="00A42372" w:rsidRDefault="00FF7C16" w:rsidP="00207D0D">
      <w:pPr>
        <w:pStyle w:val="3"/>
        <w:spacing w:before="0" w:line="276" w:lineRule="auto"/>
        <w:rPr>
          <w:rFonts w:eastAsia="Calibri"/>
        </w:rPr>
      </w:pPr>
      <w:r>
        <w:rPr>
          <w:rFonts w:eastAsia="Calibri"/>
        </w:rPr>
        <w:t>1.3</w:t>
      </w:r>
      <w:r w:rsidRPr="00A42372">
        <w:rPr>
          <w:rFonts w:eastAsia="Calibri"/>
        </w:rPr>
        <w:t xml:space="preserve">. </w:t>
      </w:r>
      <w:r>
        <w:rPr>
          <w:rFonts w:eastAsia="Calibri"/>
        </w:rPr>
        <w:t>Инвестиции</w:t>
      </w:r>
    </w:p>
    <w:p w:rsidR="00FF7C16" w:rsidRDefault="00FF7C16" w:rsidP="00207D0D">
      <w:pPr>
        <w:widowControl w:val="0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C16" w:rsidRPr="00FF7C16" w:rsidRDefault="00FF7C16" w:rsidP="00EE38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предварительным данным службы статистики объем инвестиций в основной капитал по крупным и средним предприятиям за январь-декабрь 201</w:t>
      </w:r>
      <w:r w:rsid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1D538D">
        <w:rPr>
          <w:rFonts w:ascii="Times New Roman" w:eastAsia="Times New Roman" w:hAnsi="Times New Roman" w:cs="Times New Roman"/>
          <w:sz w:val="28"/>
          <w:szCs w:val="28"/>
          <w:lang w:eastAsia="ru-RU"/>
        </w:rPr>
        <w:t>30 277,7 млн. руб. или 140,8</w:t>
      </w:r>
      <w:r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D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соответствующему периоду 2018 года (21 504,3</w:t>
      </w:r>
      <w:r w:rsidRPr="00FF7C1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руб.). </w:t>
      </w:r>
    </w:p>
    <w:p w:rsidR="001D538D" w:rsidRPr="00FF7C16" w:rsidRDefault="00FF7C16" w:rsidP="00EE382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в структуре инвестиций по источникам финансирования занимают</w:t>
      </w:r>
      <w:r w:rsidR="001D538D" w:rsidRPr="001D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3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538D"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обственные средства </w:t>
      </w:r>
      <w:r w:rsidR="001D53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69,3</w:t>
      </w:r>
      <w:r w:rsidR="001D538D"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="001D538D">
        <w:rPr>
          <w:rFonts w:ascii="Times New Roman" w:eastAsia="Times New Roman" w:hAnsi="Times New Roman" w:cs="Times New Roman"/>
          <w:sz w:val="28"/>
          <w:szCs w:val="28"/>
          <w:lang w:eastAsia="ru-RU"/>
        </w:rPr>
        <w:t>20 992,3</w:t>
      </w:r>
      <w:r w:rsidR="001D538D"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(</w:t>
      </w:r>
      <w:r w:rsidR="001D538D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50,8</w:t>
      </w:r>
      <w:r w:rsidR="001D538D"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="001D538D">
        <w:rPr>
          <w:rFonts w:ascii="Times New Roman" w:eastAsia="Times New Roman" w:hAnsi="Times New Roman" w:cs="Times New Roman"/>
          <w:sz w:val="28"/>
          <w:szCs w:val="28"/>
          <w:lang w:eastAsia="ru-RU"/>
        </w:rPr>
        <w:t>10 931,1</w:t>
      </w:r>
      <w:r w:rsidR="001D538D"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руб.).</w:t>
      </w:r>
      <w:r w:rsidR="001D538D"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F7C16" w:rsidRPr="00FF7C16" w:rsidRDefault="001D538D" w:rsidP="00EE382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7C16"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средства предприятий – 30,7</w:t>
      </w:r>
      <w:r w:rsidR="00FF7C16"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9 285,4</w:t>
      </w:r>
      <w:r w:rsidR="00FF7C16"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62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49,2</w:t>
      </w:r>
      <w:r w:rsidR="00FF7C16"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6929,7</w:t>
      </w:r>
      <w:r w:rsidR="00FF7C16"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руб.).</w:t>
      </w:r>
    </w:p>
    <w:p w:rsidR="00FF7C16" w:rsidRPr="00FF7C16" w:rsidRDefault="00FF7C16" w:rsidP="00EE382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функциональному назначению инвестиции в основной капитал направлены на:</w:t>
      </w:r>
    </w:p>
    <w:p w:rsidR="00FF7C16" w:rsidRPr="0045049C" w:rsidRDefault="00FF7C16" w:rsidP="0045049C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машины и оборудование, включая хозяйственный инвентарь и другие </w:t>
      </w:r>
      <w:r w:rsidR="001D538D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– 33,8</w:t>
      </w:r>
      <w:r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1D538D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62732B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D538D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50,9</w:t>
      </w:r>
      <w:r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FF7C16" w:rsidRPr="0045049C" w:rsidRDefault="00FF7C16" w:rsidP="0045049C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здания (кроме жилых) и сооружения, ра</w:t>
      </w:r>
      <w:r w:rsidR="001D538D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сходы на улучшение земель – 47,9</w:t>
      </w:r>
      <w:r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1D538D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62732B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D538D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28,5</w:t>
      </w:r>
      <w:r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FF7C16" w:rsidRPr="0045049C" w:rsidRDefault="001D538D" w:rsidP="0045049C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здания и помещения – 13,4</w:t>
      </w:r>
      <w:r w:rsidR="00FF7C16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62732B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16,5</w:t>
      </w:r>
      <w:r w:rsidR="00FF7C16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FF7C16" w:rsidRPr="0045049C" w:rsidRDefault="00FF7C16" w:rsidP="0045049C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интеллектуальной собств</w:t>
      </w:r>
      <w:r w:rsidR="001D538D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енности, прочие инвестиции – 4,9</w:t>
      </w:r>
      <w:r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1D538D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62732B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D538D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4,1</w:t>
      </w:r>
      <w:r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FF7C16" w:rsidRDefault="00FF7C16" w:rsidP="0045049C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C16">
        <w:rPr>
          <w:rFonts w:ascii="Times New Roman" w:eastAsia="Calibri" w:hAnsi="Times New Roman" w:cs="Times New Roman"/>
          <w:sz w:val="28"/>
          <w:szCs w:val="28"/>
        </w:rPr>
        <w:t xml:space="preserve">По результатам рейтинга муниципальных образований Югры по обеспечению условий благоприятного инвестиционного климата и содействию развитию конкуренции Ханты-Мансийск </w:t>
      </w:r>
      <w:r w:rsidR="001D538D">
        <w:rPr>
          <w:rFonts w:ascii="Times New Roman" w:eastAsia="Calibri" w:hAnsi="Times New Roman" w:cs="Times New Roman"/>
          <w:sz w:val="28"/>
          <w:szCs w:val="28"/>
        </w:rPr>
        <w:t>занимает 2 место среди муниципальных образований Югры</w:t>
      </w:r>
      <w:r w:rsidRPr="00FF7C16">
        <w:rPr>
          <w:rFonts w:ascii="Times New Roman" w:eastAsia="Calibri" w:hAnsi="Times New Roman" w:cs="Times New Roman"/>
          <w:sz w:val="28"/>
          <w:szCs w:val="28"/>
        </w:rPr>
        <w:t xml:space="preserve">. Инвестиционная деятельность затрагивает практически все сферы городской жизнедеятельности. </w:t>
      </w:r>
    </w:p>
    <w:p w:rsidR="00374C36" w:rsidRPr="00374C36" w:rsidRDefault="00374C36" w:rsidP="00EE38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36">
        <w:rPr>
          <w:rFonts w:ascii="Times New Roman" w:hAnsi="Times New Roman" w:cs="Times New Roman"/>
          <w:sz w:val="28"/>
          <w:szCs w:val="28"/>
        </w:rPr>
        <w:t>Развитие инвестиционной, производственной и коммерческой деятельности на территории города предусматривается в активно застраиваемых микрорайонах: «Западный», «Северо-Западный», «Иртыш», «Восточный», «Солдатское поле» и «Югорская звезда» общей площадью 1200 га. В целях освоения новых территорий проводятся  работы по отсыпке, проектированию и строительству инженерных сетей, развитию транспортной инфраструктуры.</w:t>
      </w:r>
    </w:p>
    <w:p w:rsidR="00374C36" w:rsidRPr="00374C36" w:rsidRDefault="00374C36" w:rsidP="00EE38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36">
        <w:rPr>
          <w:rFonts w:ascii="Times New Roman" w:hAnsi="Times New Roman" w:cs="Times New Roman"/>
          <w:sz w:val="28"/>
          <w:szCs w:val="28"/>
        </w:rPr>
        <w:t xml:space="preserve">В </w:t>
      </w:r>
      <w:r w:rsidR="00EA47CE">
        <w:rPr>
          <w:rFonts w:ascii="Times New Roman" w:hAnsi="Times New Roman" w:cs="Times New Roman"/>
          <w:sz w:val="28"/>
          <w:szCs w:val="28"/>
        </w:rPr>
        <w:t>2019</w:t>
      </w:r>
      <w:r w:rsidRPr="00374C36">
        <w:rPr>
          <w:rFonts w:ascii="Times New Roman" w:hAnsi="Times New Roman" w:cs="Times New Roman"/>
          <w:sz w:val="28"/>
          <w:szCs w:val="28"/>
        </w:rPr>
        <w:t xml:space="preserve"> году введены в эксплуатацию 3 инфраструктурных объекта:</w:t>
      </w:r>
    </w:p>
    <w:p w:rsidR="00374C36" w:rsidRPr="00374C36" w:rsidRDefault="00374C36" w:rsidP="0045049C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C36">
        <w:rPr>
          <w:rFonts w:ascii="Times New Roman" w:eastAsia="Calibri" w:hAnsi="Times New Roman" w:cs="Times New Roman"/>
          <w:sz w:val="28"/>
          <w:szCs w:val="28"/>
        </w:rPr>
        <w:t xml:space="preserve">инженерные сети водоснабжения </w:t>
      </w:r>
      <w:proofErr w:type="spellStart"/>
      <w:r w:rsidRPr="00374C36">
        <w:rPr>
          <w:rFonts w:ascii="Times New Roman" w:eastAsia="Calibri" w:hAnsi="Times New Roman" w:cs="Times New Roman"/>
          <w:sz w:val="28"/>
          <w:szCs w:val="28"/>
        </w:rPr>
        <w:t>мкрн</w:t>
      </w:r>
      <w:proofErr w:type="spellEnd"/>
      <w:r w:rsidRPr="00374C36">
        <w:rPr>
          <w:rFonts w:ascii="Times New Roman" w:eastAsia="Calibri" w:hAnsi="Times New Roman" w:cs="Times New Roman"/>
          <w:sz w:val="28"/>
          <w:szCs w:val="28"/>
        </w:rPr>
        <w:t>. «Восточный».</w:t>
      </w:r>
    </w:p>
    <w:p w:rsidR="00374C36" w:rsidRPr="00374C36" w:rsidRDefault="00374C36" w:rsidP="0045049C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C36">
        <w:rPr>
          <w:rFonts w:ascii="Times New Roman" w:eastAsia="Calibri" w:hAnsi="Times New Roman" w:cs="Times New Roman"/>
          <w:sz w:val="28"/>
          <w:szCs w:val="28"/>
        </w:rPr>
        <w:t>автомобильная дорога от ул. Дзержинского до ул. Объездная;</w:t>
      </w:r>
    </w:p>
    <w:p w:rsidR="00374C36" w:rsidRPr="00374C36" w:rsidRDefault="00374C36" w:rsidP="0045049C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C36">
        <w:rPr>
          <w:rFonts w:ascii="Times New Roman" w:eastAsia="Calibri" w:hAnsi="Times New Roman" w:cs="Times New Roman"/>
          <w:sz w:val="28"/>
          <w:szCs w:val="28"/>
        </w:rPr>
        <w:t xml:space="preserve">улицы и дороги в </w:t>
      </w:r>
      <w:proofErr w:type="spellStart"/>
      <w:r w:rsidRPr="00374C36">
        <w:rPr>
          <w:rFonts w:ascii="Times New Roman" w:eastAsia="Calibri" w:hAnsi="Times New Roman" w:cs="Times New Roman"/>
          <w:sz w:val="28"/>
          <w:szCs w:val="28"/>
        </w:rPr>
        <w:t>мкрн</w:t>
      </w:r>
      <w:proofErr w:type="spellEnd"/>
      <w:r w:rsidRPr="00374C36">
        <w:rPr>
          <w:rFonts w:ascii="Times New Roman" w:eastAsia="Calibri" w:hAnsi="Times New Roman" w:cs="Times New Roman"/>
          <w:sz w:val="28"/>
          <w:szCs w:val="28"/>
        </w:rPr>
        <w:t>. «</w:t>
      </w:r>
      <w:proofErr w:type="spellStart"/>
      <w:r w:rsidRPr="00374C36">
        <w:rPr>
          <w:rFonts w:ascii="Times New Roman" w:eastAsia="Calibri" w:hAnsi="Times New Roman" w:cs="Times New Roman"/>
          <w:sz w:val="28"/>
          <w:szCs w:val="28"/>
        </w:rPr>
        <w:t>Гидронамыв</w:t>
      </w:r>
      <w:proofErr w:type="spellEnd"/>
      <w:r w:rsidRPr="00374C36">
        <w:rPr>
          <w:rFonts w:ascii="Times New Roman" w:eastAsia="Calibri" w:hAnsi="Times New Roman" w:cs="Times New Roman"/>
          <w:sz w:val="28"/>
          <w:szCs w:val="28"/>
        </w:rPr>
        <w:t>», 1 этап.</w:t>
      </w:r>
    </w:p>
    <w:p w:rsidR="00374C36" w:rsidRPr="00374C36" w:rsidRDefault="00374C36" w:rsidP="00EE382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C36">
        <w:rPr>
          <w:rFonts w:ascii="Times New Roman" w:eastAsia="Calibri" w:hAnsi="Times New Roman" w:cs="Times New Roman"/>
          <w:sz w:val="28"/>
          <w:szCs w:val="28"/>
        </w:rPr>
        <w:t xml:space="preserve">В 2019 году коммерческими компаниями города за счет внебюджетных источников финансирования на территории города реализовано </w:t>
      </w:r>
      <w:r w:rsidR="00EA47CE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374C36">
        <w:rPr>
          <w:rFonts w:ascii="Times New Roman" w:eastAsia="Calibri" w:hAnsi="Times New Roman" w:cs="Times New Roman"/>
          <w:sz w:val="28"/>
          <w:szCs w:val="28"/>
        </w:rPr>
        <w:t xml:space="preserve">инвестиционных проектов общей инвестиционной емкостью 324,4 млн. рублей с количеством созданных рабочих мест 98 ед. (без учета объектов жилищного строительства), в том числе произведен запуск цеха по производству элементов быстровозводимых деревянных каркасно-панельных домов (ООО «СК Лидер») и асфальтобетонного завода (ООО «ЮВИС»). </w:t>
      </w:r>
    </w:p>
    <w:p w:rsidR="00374C36" w:rsidRPr="00374C36" w:rsidRDefault="00374C36" w:rsidP="00EE382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C36">
        <w:rPr>
          <w:rFonts w:ascii="Times New Roman" w:eastAsia="Calibri" w:hAnsi="Times New Roman" w:cs="Times New Roman"/>
          <w:sz w:val="28"/>
          <w:szCs w:val="28"/>
        </w:rPr>
        <w:t>Инвесторами осуществляется реализация 16 проектов (без учета объектов жилищного строительства), планируемые инвестиционные вложения состав</w:t>
      </w:r>
      <w:r w:rsidR="00BB47FA">
        <w:rPr>
          <w:rFonts w:ascii="Times New Roman" w:eastAsia="Calibri" w:hAnsi="Times New Roman" w:cs="Times New Roman"/>
          <w:sz w:val="28"/>
          <w:szCs w:val="28"/>
        </w:rPr>
        <w:t>или</w:t>
      </w:r>
      <w:r w:rsidRPr="00374C36">
        <w:rPr>
          <w:rFonts w:ascii="Times New Roman" w:eastAsia="Calibri" w:hAnsi="Times New Roman" w:cs="Times New Roman"/>
          <w:sz w:val="28"/>
          <w:szCs w:val="28"/>
        </w:rPr>
        <w:t xml:space="preserve"> 4,6 млрд. рублей. </w:t>
      </w:r>
    </w:p>
    <w:p w:rsidR="00374C36" w:rsidRDefault="00374C36" w:rsidP="00EE382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C36">
        <w:rPr>
          <w:rFonts w:ascii="Times New Roman" w:eastAsia="Calibri" w:hAnsi="Times New Roman" w:cs="Times New Roman"/>
          <w:sz w:val="28"/>
          <w:szCs w:val="28"/>
        </w:rPr>
        <w:t xml:space="preserve">Наиболее масштабными проектами, реализуемыми в настоящее время, являются проекты по созданию на условиях концессии с привлечением частного капитала  объектов образования «Средняя школа на 1725 учащихся в </w:t>
      </w:r>
      <w:proofErr w:type="spellStart"/>
      <w:r w:rsidRPr="00374C36">
        <w:rPr>
          <w:rFonts w:ascii="Times New Roman" w:eastAsia="Calibri" w:hAnsi="Times New Roman" w:cs="Times New Roman"/>
          <w:sz w:val="28"/>
          <w:szCs w:val="28"/>
        </w:rPr>
        <w:t>мкрн</w:t>
      </w:r>
      <w:proofErr w:type="spellEnd"/>
      <w:r w:rsidRPr="00374C36">
        <w:rPr>
          <w:rFonts w:ascii="Times New Roman" w:eastAsia="Calibri" w:hAnsi="Times New Roman" w:cs="Times New Roman"/>
          <w:sz w:val="28"/>
          <w:szCs w:val="28"/>
        </w:rPr>
        <w:t xml:space="preserve">. Иртыш-2 города Ханты-Мансийска» и «Средняя общеобразовательная школа на 1 056 мест в </w:t>
      </w:r>
      <w:proofErr w:type="spellStart"/>
      <w:r w:rsidRPr="00374C36">
        <w:rPr>
          <w:rFonts w:ascii="Times New Roman" w:eastAsia="Calibri" w:hAnsi="Times New Roman" w:cs="Times New Roman"/>
          <w:sz w:val="28"/>
          <w:szCs w:val="28"/>
        </w:rPr>
        <w:t>мкрн</w:t>
      </w:r>
      <w:proofErr w:type="spellEnd"/>
      <w:r w:rsidRPr="00374C36">
        <w:rPr>
          <w:rFonts w:ascii="Times New Roman" w:eastAsia="Calibri" w:hAnsi="Times New Roman" w:cs="Times New Roman"/>
          <w:sz w:val="28"/>
          <w:szCs w:val="28"/>
        </w:rPr>
        <w:t xml:space="preserve">. Учхоз» общей инвестиционной емкостью 5,0 млрд. рублей. Концессионные соглашения </w:t>
      </w:r>
      <w:r w:rsidRPr="00374C36">
        <w:rPr>
          <w:rFonts w:ascii="Times New Roman" w:eastAsia="Calibri" w:hAnsi="Times New Roman" w:cs="Times New Roman"/>
          <w:sz w:val="28"/>
          <w:szCs w:val="28"/>
        </w:rPr>
        <w:lastRenderedPageBreak/>
        <w:t>заключены со сроком действия – до 27 декабря 2026 года (на 8 лет), сроком строительства – не более 3 лет.</w:t>
      </w:r>
    </w:p>
    <w:p w:rsidR="00374C36" w:rsidRPr="00374C36" w:rsidRDefault="00374C36" w:rsidP="00EE38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36">
        <w:rPr>
          <w:rFonts w:ascii="Times New Roman" w:hAnsi="Times New Roman" w:cs="Times New Roman"/>
          <w:sz w:val="28"/>
          <w:szCs w:val="28"/>
        </w:rPr>
        <w:t xml:space="preserve">В </w:t>
      </w:r>
      <w:r w:rsidR="00EA47CE">
        <w:rPr>
          <w:rFonts w:ascii="Times New Roman" w:hAnsi="Times New Roman" w:cs="Times New Roman"/>
          <w:sz w:val="28"/>
          <w:szCs w:val="28"/>
        </w:rPr>
        <w:t>2019</w:t>
      </w:r>
      <w:r w:rsidRPr="00374C36">
        <w:rPr>
          <w:rFonts w:ascii="Times New Roman" w:hAnsi="Times New Roman" w:cs="Times New Roman"/>
          <w:sz w:val="28"/>
          <w:szCs w:val="28"/>
        </w:rPr>
        <w:t xml:space="preserve"> году начата реализация </w:t>
      </w:r>
      <w:proofErr w:type="spellStart"/>
      <w:r w:rsidRPr="00374C36">
        <w:rPr>
          <w:rFonts w:ascii="Times New Roman" w:hAnsi="Times New Roman" w:cs="Times New Roman"/>
          <w:sz w:val="28"/>
          <w:szCs w:val="28"/>
        </w:rPr>
        <w:t>инвестпроекта</w:t>
      </w:r>
      <w:proofErr w:type="spellEnd"/>
      <w:r w:rsidRPr="00374C36">
        <w:rPr>
          <w:rFonts w:ascii="Times New Roman" w:hAnsi="Times New Roman" w:cs="Times New Roman"/>
          <w:sz w:val="28"/>
          <w:szCs w:val="28"/>
        </w:rPr>
        <w:t xml:space="preserve"> «Строительство Технологического Центра «</w:t>
      </w:r>
      <w:proofErr w:type="spellStart"/>
      <w:r w:rsidRPr="00374C36">
        <w:rPr>
          <w:rFonts w:ascii="Times New Roman" w:hAnsi="Times New Roman" w:cs="Times New Roman"/>
          <w:sz w:val="28"/>
          <w:szCs w:val="28"/>
        </w:rPr>
        <w:t>Бажен</w:t>
      </w:r>
      <w:proofErr w:type="spellEnd"/>
      <w:r w:rsidRPr="00374C36">
        <w:rPr>
          <w:rFonts w:ascii="Times New Roman" w:hAnsi="Times New Roman" w:cs="Times New Roman"/>
          <w:sz w:val="28"/>
          <w:szCs w:val="28"/>
        </w:rPr>
        <w:t>» с общим объемом инвестиций 1 млрд. рублей. В рамках проекта планируется создание высокотехнологичных рабочих мест с привлечением высококвалифицированных специалистов.</w:t>
      </w:r>
    </w:p>
    <w:p w:rsidR="00EA47CE" w:rsidRPr="00EA47CE" w:rsidRDefault="00EA47CE" w:rsidP="00EE382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CE">
        <w:rPr>
          <w:rFonts w:ascii="Times New Roman" w:eastAsia="Calibri" w:hAnsi="Times New Roman" w:cs="Times New Roman"/>
          <w:sz w:val="28"/>
          <w:szCs w:val="28"/>
        </w:rPr>
        <w:t>Кроме того, в 2019 году город Ханты-Мансийск стал победителем Всероссийского конкурса «Лучшая муниципальная практика» (в том числе регионального этапа) в номинации «Муниципальная экономическая политика и управление муниципальными финансами». В составе заявки представлен опыт города Ханты-Мансийска по запуску в 2018 году инвестиционных проектов в сфере «Образование» на условиях концессии. Данная победа отмечена Дипломом Правительства Российской Федерации и денежным поощрением в объеме 3,8 млн. рублей.</w:t>
      </w:r>
    </w:p>
    <w:p w:rsidR="00374C36" w:rsidRDefault="00374C36" w:rsidP="00207D0D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CBF" w:rsidRPr="00FC5E35" w:rsidRDefault="00D76CBF" w:rsidP="00207D0D">
      <w:pPr>
        <w:pStyle w:val="3"/>
        <w:spacing w:before="0" w:line="276" w:lineRule="auto"/>
        <w:rPr>
          <w:rFonts w:eastAsia="Times New Roman"/>
          <w:lang w:eastAsia="ru-RU"/>
        </w:rPr>
      </w:pPr>
      <w:bookmarkStart w:id="3" w:name="_Toc533760002"/>
      <w:bookmarkStart w:id="4" w:name="_Toc535576496"/>
      <w:r w:rsidRPr="00FC5E35">
        <w:rPr>
          <w:rFonts w:eastAsia="Times New Roman"/>
          <w:lang w:eastAsia="ru-RU"/>
        </w:rPr>
        <w:t xml:space="preserve">1.4. </w:t>
      </w:r>
      <w:r>
        <w:rPr>
          <w:rFonts w:eastAsia="Times New Roman"/>
          <w:lang w:eastAsia="ru-RU"/>
        </w:rPr>
        <w:t>З</w:t>
      </w:r>
      <w:r w:rsidRPr="00FC5E35">
        <w:rPr>
          <w:rFonts w:eastAsia="Times New Roman"/>
          <w:lang w:eastAsia="ru-RU"/>
        </w:rPr>
        <w:t>анятость населения</w:t>
      </w:r>
      <w:bookmarkEnd w:id="3"/>
      <w:bookmarkEnd w:id="4"/>
    </w:p>
    <w:p w:rsidR="00D76CBF" w:rsidRPr="00924D6E" w:rsidRDefault="00D76CBF" w:rsidP="00207D0D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76CBF" w:rsidRPr="00B56F8B" w:rsidRDefault="00D76CBF" w:rsidP="00EE382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Ситуация на рынке труда города Ханты-Мансийска за последние </w:t>
      </w:r>
      <w:r w:rsidR="006672F4">
        <w:rPr>
          <w:rFonts w:ascii="Times New Roman" w:eastAsia="Calibri" w:hAnsi="Times New Roman" w:cs="Times New Roman"/>
          <w:sz w:val="28"/>
          <w:szCs w:val="28"/>
          <w:lang w:eastAsia="ru-RU"/>
        </w:rPr>
        <w:t>годы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сохраняет стабильность. Уровень зарегистрирова</w:t>
      </w:r>
      <w:r w:rsidR="006672F4">
        <w:rPr>
          <w:rFonts w:ascii="Times New Roman" w:eastAsia="Calibri" w:hAnsi="Times New Roman" w:cs="Times New Roman"/>
          <w:sz w:val="28"/>
          <w:szCs w:val="28"/>
          <w:lang w:eastAsia="ru-RU"/>
        </w:rPr>
        <w:t>нной безработицы снизился с 0,30% в 2018 году до 0,29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>% в 201</w:t>
      </w:r>
      <w:r w:rsidR="006672F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году. Численность безработных граждан, стоящих на регистрационно</w:t>
      </w:r>
      <w:r w:rsidR="006672F4">
        <w:rPr>
          <w:rFonts w:ascii="Times New Roman" w:eastAsia="Calibri" w:hAnsi="Times New Roman" w:cs="Times New Roman"/>
          <w:sz w:val="28"/>
          <w:szCs w:val="28"/>
          <w:lang w:eastAsia="ru-RU"/>
        </w:rPr>
        <w:t>м учете, уменьшилась до 169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</w:t>
      </w:r>
      <w:r w:rsidR="00667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2018 году – 180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чел.). Коэффиц</w:t>
      </w:r>
      <w:r w:rsidR="006672F4">
        <w:rPr>
          <w:rFonts w:ascii="Times New Roman" w:eastAsia="Calibri" w:hAnsi="Times New Roman" w:cs="Times New Roman"/>
          <w:sz w:val="28"/>
          <w:szCs w:val="28"/>
          <w:lang w:eastAsia="ru-RU"/>
        </w:rPr>
        <w:t>иент напряженности составил 0,32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человека на 1 свободн</w:t>
      </w:r>
      <w:r w:rsidR="006672F4">
        <w:rPr>
          <w:rFonts w:ascii="Times New Roman" w:eastAsia="Calibri" w:hAnsi="Times New Roman" w:cs="Times New Roman"/>
          <w:sz w:val="28"/>
          <w:szCs w:val="28"/>
          <w:lang w:eastAsia="ru-RU"/>
        </w:rPr>
        <w:t>ое рабочее место. По итогам 2019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отмечается увеличение спроса работодателей на рабочую силу, количество заявленных ваканси</w:t>
      </w:r>
      <w:r w:rsidR="004865AA">
        <w:rPr>
          <w:rFonts w:ascii="Times New Roman" w:eastAsia="Calibri" w:hAnsi="Times New Roman" w:cs="Times New Roman"/>
          <w:sz w:val="28"/>
          <w:szCs w:val="28"/>
          <w:lang w:eastAsia="ru-RU"/>
        </w:rPr>
        <w:t>й составило 525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</w:t>
      </w:r>
      <w:r w:rsidR="004865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76CBF" w:rsidRPr="00B56F8B" w:rsidRDefault="00D76CBF" w:rsidP="00EE382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>Численность экономич</w:t>
      </w:r>
      <w:r w:rsidR="004865AA">
        <w:rPr>
          <w:rFonts w:ascii="Times New Roman" w:eastAsia="Calibri" w:hAnsi="Times New Roman" w:cs="Times New Roman"/>
          <w:sz w:val="28"/>
          <w:szCs w:val="28"/>
          <w:lang w:eastAsia="ru-RU"/>
        </w:rPr>
        <w:t>ески активного населения за 2019 год по оценке составила 59 408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овек</w:t>
      </w:r>
      <w:r w:rsidR="004865AA">
        <w:rPr>
          <w:rFonts w:ascii="Times New Roman" w:eastAsia="Calibri" w:hAnsi="Times New Roman" w:cs="Times New Roman"/>
          <w:sz w:val="28"/>
          <w:szCs w:val="28"/>
          <w:lang w:eastAsia="ru-RU"/>
        </w:rPr>
        <w:t>, что составляет 59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>% от общей численности населения города Ханты-Мансийска.</w:t>
      </w:r>
    </w:p>
    <w:p w:rsidR="00D76CBF" w:rsidRPr="00B56F8B" w:rsidRDefault="00D76CBF" w:rsidP="00EE382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данным казенного учреждения Ханты-Мансийского автономного округа – Югры «Ханты-Мансийский центр занятости населения» число граждан, обратившихся за содействием в поиске подходящей работы,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состав</w:t>
      </w:r>
      <w:r w:rsidR="00F17EAF">
        <w:rPr>
          <w:rFonts w:ascii="Times New Roman" w:eastAsia="Calibri" w:hAnsi="Times New Roman" w:cs="Times New Roman"/>
          <w:sz w:val="28"/>
          <w:szCs w:val="28"/>
          <w:lang w:eastAsia="ru-RU"/>
        </w:rPr>
        <w:t>ило</w:t>
      </w:r>
      <w:r w:rsidR="00486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1857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(работающие граждане, граждане, желающие сменить место работы, выпускники организаций профессионального образования, граждане </w:t>
      </w:r>
      <w:proofErr w:type="spellStart"/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пенсионного возраста, инвалиды, многодетные родители, родители, воспитывающие дет</w:t>
      </w:r>
      <w:r w:rsidR="004865AA">
        <w:rPr>
          <w:rFonts w:ascii="Times New Roman" w:eastAsia="Calibri" w:hAnsi="Times New Roman" w:cs="Times New Roman"/>
          <w:sz w:val="28"/>
          <w:szCs w:val="28"/>
          <w:lang w:eastAsia="ru-RU"/>
        </w:rPr>
        <w:t>ей-инвалидов и др.), из них 992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овек</w:t>
      </w:r>
      <w:r w:rsidR="004865A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трудоустроены. </w:t>
      </w:r>
    </w:p>
    <w:p w:rsidR="00D76CBF" w:rsidRPr="00B56F8B" w:rsidRDefault="00D76CBF" w:rsidP="00EE382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>Одним из основных инструментов решения задач по сохранению стабильной ситуации и снижению напряженности на рынке труда является реализация мероприятий государственной программы «</w:t>
      </w:r>
      <w:r w:rsidR="004865AA"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Поддержка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занятости 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населения» (далее – Программа), в которой сохранены стимулирующие меры государственной поддержки работодателям и отдельным категориям граждан, а также мероприятия </w:t>
      </w:r>
      <w:r w:rsidR="004865AA">
        <w:rPr>
          <w:rFonts w:ascii="Times New Roman" w:eastAsia="Calibri" w:hAnsi="Times New Roman" w:cs="Times New Roman"/>
          <w:sz w:val="28"/>
          <w:szCs w:val="28"/>
          <w:lang w:eastAsia="ru-RU"/>
        </w:rPr>
        <w:t>по исполнению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поручений Президента Российской Федерации:</w:t>
      </w:r>
    </w:p>
    <w:p w:rsidR="00D76CBF" w:rsidRPr="00B56F8B" w:rsidRDefault="00D76CBF" w:rsidP="00EE3823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содействие в трудоустройстве инвалидов, одиноких родителей, многодетных родителей и родителей, воспитывающих детей-инвалидов; </w:t>
      </w:r>
    </w:p>
    <w:p w:rsidR="00D76CBF" w:rsidRPr="00B56F8B" w:rsidRDefault="00D76CBF" w:rsidP="00EE3823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содействие занятости граждан </w:t>
      </w:r>
      <w:proofErr w:type="spellStart"/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пенсионного возраста;</w:t>
      </w:r>
    </w:p>
    <w:p w:rsidR="00D76CBF" w:rsidRPr="00B56F8B" w:rsidRDefault="00D76CBF" w:rsidP="00EE3823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профессиональное обучение и дополнительное профессиональное образование родителей, осуществляющих уход за детьми в возрасте до 3 лет и родителей, находящихся в отпуске по уходу за ребенком до достижения им возраста 3 лет.</w:t>
      </w:r>
    </w:p>
    <w:p w:rsidR="004865AA" w:rsidRPr="004865AA" w:rsidRDefault="004865AA" w:rsidP="00EE382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5AA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на реализацию политики в сфере содействия занятости населения и снижению напряже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нности на рынке труда в рамках П</w:t>
      </w:r>
      <w:r w:rsidRPr="00486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рограммы направлено 12 028 тыс. рублей. Реализация мероприятий позволила оказать содействие по </w:t>
      </w:r>
      <w:proofErr w:type="spellStart"/>
      <w:r w:rsidRPr="004865AA">
        <w:rPr>
          <w:rFonts w:ascii="Times New Roman" w:eastAsia="Calibri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486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15 безработным гражданам, профессиональному обучению и дополнительному профессиональному образованию 217 чел., относящихся к отдельным категориям граждан. Особое внимание уделено категориям граждан, нуждающихся в дополнительных мерах по трудоустройству. </w:t>
      </w:r>
    </w:p>
    <w:p w:rsidR="004865AA" w:rsidRPr="004865AA" w:rsidRDefault="004865AA" w:rsidP="00EE382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5AA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Исполнены плановые показатели по числу трудоустроенных инвалидов на созданные и специально оборудованные рабочие места в соответствии с заключенными договорами.</w:t>
      </w:r>
    </w:p>
    <w:p w:rsidR="004865AA" w:rsidRPr="004865AA" w:rsidRDefault="004865AA" w:rsidP="00EE382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5AA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проводимых мероприятий Программы трудоустроено 740 несовершеннолетних граждан в возрасте от 14 до 18 лет, а также 12 выпускников профессиональных образовательных организаций и образовательных организаций высшего образования в возрасте до 25 лет, 9 безработных и незанятых трудовой деятельностью гражданина на оплачиваемые общественные работы и безработные граждане, испытывающие трудности в поиске работы в количестве 3 человек и другие.</w:t>
      </w:r>
    </w:p>
    <w:p w:rsidR="004865AA" w:rsidRPr="004865AA" w:rsidRDefault="004865AA" w:rsidP="004865A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5AA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2019 года предприятиями и организациями города создано 1204 рабочих места с учетом временных рабочих мест. В целях своевременного реагирования и минимизации колебаний на рынке труда на постоянной основе проводятся заседания Межведомственной комиссии по вопросам трудовых отношений и содействия занятости населения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Администрации города Ханты-</w:t>
      </w:r>
      <w:r w:rsidRPr="004865AA">
        <w:rPr>
          <w:rFonts w:ascii="Times New Roman" w:eastAsia="Calibri" w:hAnsi="Times New Roman" w:cs="Times New Roman"/>
          <w:sz w:val="28"/>
          <w:szCs w:val="28"/>
          <w:lang w:eastAsia="ru-RU"/>
        </w:rPr>
        <w:t>Мансийска (далее – Межведомственная комиссия). За 2019 год проведено 6 заседаний Межведомственной комиссии, на которых были рассмотрены вопросы, направленные на стабилизацию рынка труда, в том числе:</w:t>
      </w:r>
    </w:p>
    <w:p w:rsidR="004865AA" w:rsidRPr="0045049C" w:rsidRDefault="004865AA" w:rsidP="0045049C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49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снижение неформальной занятости населения в 2019 году во взаимодействии с контрольно-надзорными территориальными федеральными органами государственной власти Российской Федерации по </w:t>
      </w:r>
      <w:r w:rsidR="0045049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5049C">
        <w:rPr>
          <w:rFonts w:ascii="Times New Roman" w:eastAsia="Calibri" w:hAnsi="Times New Roman" w:cs="Times New Roman"/>
          <w:sz w:val="28"/>
          <w:szCs w:val="28"/>
          <w:lang w:eastAsia="ru-RU"/>
        </w:rPr>
        <w:t>Ханты</w:t>
      </w:r>
      <w:r w:rsidR="0045049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450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Мансийскому автономному округу </w:t>
      </w:r>
      <w:r w:rsidR="0045049C" w:rsidRPr="0076687B">
        <w:rPr>
          <w:rFonts w:ascii="Times New Roman" w:eastAsia="Calibri" w:hAnsi="Times New Roman" w:cs="Times New Roman"/>
          <w:sz w:val="28"/>
          <w:szCs w:val="28"/>
        </w:rPr>
        <w:t>–</w:t>
      </w:r>
      <w:r w:rsidRPr="00450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Югре и Администрации города Ханты</w:t>
      </w:r>
      <w:r w:rsidR="0045049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45049C">
        <w:rPr>
          <w:rFonts w:ascii="Times New Roman" w:eastAsia="Calibri" w:hAnsi="Times New Roman" w:cs="Times New Roman"/>
          <w:sz w:val="28"/>
          <w:szCs w:val="28"/>
          <w:lang w:eastAsia="ru-RU"/>
        </w:rPr>
        <w:t>Мансийска;</w:t>
      </w:r>
    </w:p>
    <w:p w:rsidR="004865AA" w:rsidRPr="0045049C" w:rsidRDefault="004865AA" w:rsidP="0045049C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сохранение уровня занятости граждан </w:t>
      </w:r>
      <w:proofErr w:type="spellStart"/>
      <w:r w:rsidRPr="0045049C">
        <w:rPr>
          <w:rFonts w:ascii="Times New Roman" w:eastAsia="Calibri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450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возраста, включая организацию профессионального обучения, проведение мероприятий активной политики занятости населения и трудоустройство данной категории граждан;</w:t>
      </w:r>
    </w:p>
    <w:p w:rsidR="00D76CBF" w:rsidRPr="0045049C" w:rsidRDefault="004865AA" w:rsidP="0045049C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49C">
        <w:rPr>
          <w:rFonts w:ascii="Times New Roman" w:eastAsia="Calibri" w:hAnsi="Times New Roman" w:cs="Times New Roman"/>
          <w:sz w:val="28"/>
          <w:szCs w:val="28"/>
          <w:lang w:eastAsia="ru-RU"/>
        </w:rPr>
        <w:t>погашение задолженности по выплате заработной платы работникам организаций, зарегистрированных в городе Ханты-Мансийске.</w:t>
      </w:r>
    </w:p>
    <w:p w:rsidR="004865AA" w:rsidRDefault="004865AA" w:rsidP="004865A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6CBF" w:rsidRPr="00A42372" w:rsidRDefault="00D76CBF" w:rsidP="00207D0D">
      <w:pPr>
        <w:pStyle w:val="3"/>
        <w:spacing w:before="0" w:line="276" w:lineRule="auto"/>
        <w:rPr>
          <w:rFonts w:eastAsia="Times New Roman"/>
        </w:rPr>
      </w:pPr>
      <w:bookmarkStart w:id="5" w:name="_Toc533760003"/>
      <w:bookmarkStart w:id="6" w:name="_Toc535576497"/>
      <w:r w:rsidRPr="00A42372">
        <w:rPr>
          <w:rFonts w:eastAsia="Times New Roman"/>
        </w:rPr>
        <w:t xml:space="preserve">1.5. </w:t>
      </w:r>
      <w:bookmarkEnd w:id="5"/>
      <w:bookmarkEnd w:id="6"/>
      <w:r w:rsidR="001F1DE7">
        <w:rPr>
          <w:rFonts w:eastAsia="Times New Roman"/>
        </w:rPr>
        <w:t>Денеж</w:t>
      </w:r>
      <w:r w:rsidR="0023133D">
        <w:rPr>
          <w:rFonts w:eastAsia="Times New Roman"/>
        </w:rPr>
        <w:t>ные доходы и расходы населения</w:t>
      </w:r>
    </w:p>
    <w:p w:rsidR="00D76CBF" w:rsidRPr="00924D6E" w:rsidRDefault="00D76CBF" w:rsidP="00207D0D">
      <w:pPr>
        <w:pStyle w:val="a3"/>
        <w:widowControl w:val="0"/>
        <w:spacing w:after="0"/>
        <w:ind w:left="0" w:firstLine="709"/>
        <w:rPr>
          <w:rFonts w:ascii="Times New Roman" w:eastAsia="Times New Roman" w:hAnsi="Times New Roman"/>
          <w:bCs/>
          <w:sz w:val="28"/>
          <w:szCs w:val="28"/>
          <w:highlight w:val="yellow"/>
        </w:rPr>
      </w:pPr>
    </w:p>
    <w:p w:rsidR="00994D98" w:rsidRDefault="00994D98" w:rsidP="00994D9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службы статистики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94D98">
        <w:rPr>
          <w:rFonts w:ascii="Times New Roman" w:eastAsia="Times New Roman" w:hAnsi="Times New Roman" w:cs="Times New Roman"/>
          <w:bCs/>
          <w:sz w:val="28"/>
          <w:szCs w:val="28"/>
        </w:rPr>
        <w:t xml:space="preserve"> 2019 году среднемесячная заработная плата одного работающего в организациях города сос</w:t>
      </w:r>
      <w:r w:rsidR="00A4227D">
        <w:rPr>
          <w:rFonts w:ascii="Times New Roman" w:eastAsia="Times New Roman" w:hAnsi="Times New Roman" w:cs="Times New Roman"/>
          <w:bCs/>
          <w:sz w:val="28"/>
          <w:szCs w:val="28"/>
        </w:rPr>
        <w:t>тав</w:t>
      </w:r>
      <w:r w:rsidR="008053C5">
        <w:rPr>
          <w:rFonts w:ascii="Times New Roman" w:eastAsia="Times New Roman" w:hAnsi="Times New Roman" w:cs="Times New Roman"/>
          <w:bCs/>
          <w:sz w:val="28"/>
          <w:szCs w:val="28"/>
        </w:rPr>
        <w:t>ила</w:t>
      </w:r>
      <w:r w:rsidR="00A4227D">
        <w:rPr>
          <w:rFonts w:ascii="Times New Roman" w:eastAsia="Times New Roman" w:hAnsi="Times New Roman" w:cs="Times New Roman"/>
          <w:bCs/>
          <w:sz w:val="28"/>
          <w:szCs w:val="28"/>
        </w:rPr>
        <w:t xml:space="preserve"> 84 653</w:t>
      </w:r>
      <w:r w:rsidRPr="00994D9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4227D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994D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4D98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="00A4227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108,5</w:t>
      </w:r>
      <w:r w:rsidRPr="00994D98">
        <w:rPr>
          <w:rFonts w:ascii="Times New Roman" w:eastAsia="Times New Roman" w:hAnsi="Times New Roman" w:cs="Times New Roman"/>
          <w:bCs/>
          <w:sz w:val="28"/>
          <w:szCs w:val="28"/>
        </w:rPr>
        <w:t>% к 2018 году (78 044,2</w:t>
      </w:r>
      <w:r w:rsidRPr="00994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 w:rsidRPr="00994D98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Pr="00994D98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994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реднедушевой доход состав</w:t>
      </w:r>
      <w:r w:rsidR="008053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99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50 275,21</w:t>
      </w:r>
      <w:r w:rsidRPr="00994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 </w:t>
      </w:r>
      <w:r w:rsidRPr="0099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2018 году 49 289,43 </w:t>
      </w:r>
      <w:r w:rsidRPr="00994D98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99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94D98" w:rsidRDefault="00994D98" w:rsidP="00994D98">
      <w:pPr>
        <w:widowControl w:val="0"/>
        <w:spacing w:after="0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4D98">
        <w:rPr>
          <w:rFonts w:ascii="Times New Roman" w:eastAsia="Times New Roman" w:hAnsi="Times New Roman" w:cs="Times New Roman"/>
          <w:bCs/>
          <w:sz w:val="28"/>
          <w:szCs w:val="28"/>
        </w:rPr>
        <w:t>Рисунок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:rsidR="00EE3823" w:rsidRPr="00994D98" w:rsidRDefault="00EE3823" w:rsidP="00994D98">
      <w:pPr>
        <w:widowControl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D98" w:rsidRPr="00994D98" w:rsidRDefault="00994D98" w:rsidP="00994D98">
      <w:pPr>
        <w:widowControl w:val="0"/>
        <w:spacing w:after="0"/>
        <w:ind w:right="142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4D98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75BE9EF4" wp14:editId="2CE4F3EC">
            <wp:extent cx="5475768" cy="419986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94D98" w:rsidRPr="00994D98" w:rsidRDefault="00994D98" w:rsidP="00994D98">
      <w:pPr>
        <w:widowControl w:val="0"/>
        <w:spacing w:after="0"/>
        <w:ind w:right="142" w:firstLine="709"/>
        <w:rPr>
          <w:rFonts w:ascii="Times New Roman" w:eastAsia="Calibri" w:hAnsi="Times New Roman" w:cs="Times New Roman"/>
          <w:sz w:val="28"/>
          <w:szCs w:val="28"/>
        </w:rPr>
      </w:pPr>
    </w:p>
    <w:p w:rsidR="00994D98" w:rsidRPr="00994D98" w:rsidRDefault="00A4227D" w:rsidP="00994D98">
      <w:pPr>
        <w:widowControl w:val="0"/>
        <w:tabs>
          <w:tab w:val="left" w:pos="709"/>
          <w:tab w:val="left" w:pos="921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 данным государственного учреждения Отделение Пенсионного Фонда Российской Федерации с</w:t>
      </w:r>
      <w:r w:rsidR="00994D98" w:rsidRPr="00994D98">
        <w:rPr>
          <w:rFonts w:ascii="Times New Roman" w:eastAsia="Times New Roman" w:hAnsi="Times New Roman" w:cs="Times New Roman"/>
          <w:bCs/>
          <w:sz w:val="28"/>
          <w:szCs w:val="28"/>
        </w:rPr>
        <w:t>реднемесячный размер трудовой пенсии</w:t>
      </w:r>
      <w:r w:rsidR="00994D98" w:rsidRPr="00994D98">
        <w:rPr>
          <w:rFonts w:ascii="Times New Roman" w:eastAsia="Times New Roman" w:hAnsi="Times New Roman" w:cs="Times New Roman"/>
          <w:sz w:val="28"/>
          <w:szCs w:val="28"/>
        </w:rPr>
        <w:t xml:space="preserve"> по старости одного пенсионера в городе Ханты-М</w:t>
      </w:r>
      <w:r>
        <w:rPr>
          <w:rFonts w:ascii="Times New Roman" w:eastAsia="Times New Roman" w:hAnsi="Times New Roman" w:cs="Times New Roman"/>
          <w:sz w:val="28"/>
          <w:szCs w:val="28"/>
        </w:rPr>
        <w:t>ансийске в 2019 году составил 21 769,72</w:t>
      </w:r>
      <w:r w:rsidR="00994D98" w:rsidRPr="00994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D98" w:rsidRPr="00994D98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="00994D98" w:rsidRPr="00994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 103</w:t>
      </w:r>
      <w:r w:rsidR="00994D98" w:rsidRPr="00994D98">
        <w:rPr>
          <w:rFonts w:ascii="Times New Roman" w:eastAsia="Times New Roman" w:hAnsi="Times New Roman" w:cs="Times New Roman"/>
          <w:sz w:val="28"/>
          <w:szCs w:val="28"/>
        </w:rPr>
        <w:t xml:space="preserve">% к 2018 году (21 125,55 </w:t>
      </w:r>
      <w:r w:rsidR="00994D98" w:rsidRPr="00994D98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="00994D98" w:rsidRPr="00994D98">
        <w:rPr>
          <w:rFonts w:ascii="Times New Roman" w:eastAsia="Times New Roman" w:hAnsi="Times New Roman" w:cs="Times New Roman"/>
          <w:sz w:val="28"/>
          <w:szCs w:val="28"/>
        </w:rPr>
        <w:t>) без учета доплат из бюджета автономного округа.</w:t>
      </w:r>
    </w:p>
    <w:p w:rsidR="00994D98" w:rsidRPr="00994D98" w:rsidRDefault="00994D98" w:rsidP="00994D98">
      <w:pPr>
        <w:widowControl w:val="0"/>
        <w:tabs>
          <w:tab w:val="left" w:pos="921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D98">
        <w:rPr>
          <w:rFonts w:ascii="Times New Roman" w:eastAsia="Times New Roman" w:hAnsi="Times New Roman" w:cs="Times New Roman"/>
          <w:sz w:val="28"/>
          <w:szCs w:val="28"/>
        </w:rPr>
        <w:t xml:space="preserve">По данным Негосударственного Пенсионного фонда </w:t>
      </w:r>
      <w:r w:rsidR="0045049C">
        <w:rPr>
          <w:rFonts w:ascii="Times New Roman" w:eastAsia="Times New Roman" w:hAnsi="Times New Roman" w:cs="Times New Roman"/>
          <w:sz w:val="28"/>
          <w:szCs w:val="28"/>
        </w:rPr>
        <w:br/>
      </w:r>
      <w:r w:rsidRPr="00994D98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– Югры в 2019 году дополнительные выпл</w:t>
      </w:r>
      <w:r w:rsidR="00A4227D">
        <w:rPr>
          <w:rFonts w:ascii="Times New Roman" w:eastAsia="Times New Roman" w:hAnsi="Times New Roman" w:cs="Times New Roman"/>
          <w:sz w:val="28"/>
          <w:szCs w:val="28"/>
        </w:rPr>
        <w:t>аты в среднем составили по 952,0</w:t>
      </w:r>
      <w:r w:rsidRPr="00994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D98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994D98">
        <w:rPr>
          <w:rFonts w:ascii="Times New Roman" w:eastAsia="Times New Roman" w:hAnsi="Times New Roman" w:cs="Times New Roman"/>
          <w:sz w:val="28"/>
          <w:szCs w:val="28"/>
        </w:rPr>
        <w:t xml:space="preserve"> на 1 человека.</w:t>
      </w:r>
    </w:p>
    <w:p w:rsidR="00994D98" w:rsidRPr="00994D98" w:rsidRDefault="00994D98" w:rsidP="00994D9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D98">
        <w:rPr>
          <w:rFonts w:ascii="Times New Roman" w:eastAsia="Times New Roman" w:hAnsi="Times New Roman" w:cs="Times New Roman"/>
          <w:sz w:val="28"/>
          <w:szCs w:val="28"/>
        </w:rPr>
        <w:t>С учетом дополнительных выплат средний размер доходов одного неработающего пенсионера</w:t>
      </w:r>
      <w:r w:rsidR="00A4227D">
        <w:rPr>
          <w:rFonts w:ascii="Times New Roman" w:eastAsia="Times New Roman" w:hAnsi="Times New Roman" w:cs="Times New Roman"/>
          <w:sz w:val="28"/>
          <w:szCs w:val="28"/>
        </w:rPr>
        <w:t xml:space="preserve"> в 2019 году состав</w:t>
      </w:r>
      <w:r w:rsidR="008053C5">
        <w:rPr>
          <w:rFonts w:ascii="Times New Roman" w:eastAsia="Times New Roman" w:hAnsi="Times New Roman" w:cs="Times New Roman"/>
          <w:sz w:val="28"/>
          <w:szCs w:val="28"/>
        </w:rPr>
        <w:t>ил</w:t>
      </w:r>
      <w:r w:rsidR="00A4227D">
        <w:rPr>
          <w:rFonts w:ascii="Times New Roman" w:eastAsia="Times New Roman" w:hAnsi="Times New Roman" w:cs="Times New Roman"/>
          <w:sz w:val="28"/>
          <w:szCs w:val="28"/>
        </w:rPr>
        <w:t xml:space="preserve"> 22 721,72</w:t>
      </w:r>
      <w:r w:rsidRPr="00994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D98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994D98">
        <w:rPr>
          <w:rFonts w:ascii="Times New Roman" w:eastAsia="Times New Roman" w:hAnsi="Times New Roman" w:cs="Times New Roman"/>
          <w:sz w:val="28"/>
          <w:szCs w:val="28"/>
        </w:rPr>
        <w:t xml:space="preserve"> (2018 год –</w:t>
      </w:r>
      <w:r w:rsidR="00A42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D98">
        <w:rPr>
          <w:rFonts w:ascii="Times New Roman" w:eastAsia="Times New Roman" w:hAnsi="Times New Roman" w:cs="Times New Roman"/>
          <w:sz w:val="28"/>
          <w:szCs w:val="28"/>
        </w:rPr>
        <w:t xml:space="preserve">22 086,25 </w:t>
      </w:r>
      <w:r w:rsidRPr="00994D98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994D9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4227D" w:rsidRPr="00A4227D" w:rsidRDefault="00A4227D" w:rsidP="00A4227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2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Величина прожиточного минимума за 4 квартал 2019 года составила:</w:t>
      </w:r>
    </w:p>
    <w:p w:rsidR="00A4227D" w:rsidRPr="0045049C" w:rsidRDefault="00A4227D" w:rsidP="0045049C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среднем на душу населения – 14699 руб. или 101,6% к соответствующему периоду 2018 года (14471 руб.);</w:t>
      </w:r>
    </w:p>
    <w:p w:rsidR="00A4227D" w:rsidRPr="0045049C" w:rsidRDefault="00A4227D" w:rsidP="0045049C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одного трудоспособного – 15889 руб. или 101,8% к соответствующему периоду 2018 года (15615 руб.);</w:t>
      </w:r>
    </w:p>
    <w:p w:rsidR="00A4227D" w:rsidRPr="0045049C" w:rsidRDefault="00A4227D" w:rsidP="0045049C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одного пенсионера – 12067 руб. или 101,4% к соответствующему периоду 2018 года (11898 руб.);</w:t>
      </w:r>
    </w:p>
    <w:p w:rsidR="001F1DE7" w:rsidRPr="0045049C" w:rsidRDefault="00A4227D" w:rsidP="0045049C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одного ребенка – 14615 руб. или 104,9% к соответствующему периоду 2018 года (13929 руб.).</w:t>
      </w:r>
    </w:p>
    <w:p w:rsidR="00A4227D" w:rsidRDefault="00A4227D" w:rsidP="00A4227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3133D" w:rsidRPr="006B5334" w:rsidRDefault="0023133D" w:rsidP="00207D0D">
      <w:pPr>
        <w:pStyle w:val="2"/>
        <w:spacing w:before="0"/>
        <w:jc w:val="center"/>
        <w:rPr>
          <w:b w:val="0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r w:rsidRPr="0023133D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Потребительский</w:t>
      </w:r>
      <w:r w:rsidRPr="006B5334">
        <w:rPr>
          <w:color w:val="000000" w:themeColor="text1"/>
          <w:sz w:val="28"/>
          <w:szCs w:val="28"/>
        </w:rPr>
        <w:t xml:space="preserve"> рынок</w:t>
      </w:r>
    </w:p>
    <w:p w:rsidR="0023133D" w:rsidRPr="006B5334" w:rsidRDefault="0023133D" w:rsidP="00207D0D">
      <w:pPr>
        <w:spacing w:after="0"/>
        <w:rPr>
          <w:lang w:eastAsia="ru-RU"/>
        </w:rPr>
      </w:pPr>
    </w:p>
    <w:p w:rsidR="00A4227D" w:rsidRPr="00A4227D" w:rsidRDefault="00A4227D" w:rsidP="00A4227D">
      <w:pPr>
        <w:spacing w:after="0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состоянию на 01.01.2020 года на территории города функционируют 404 объекта розничной торговли: 10 торговых домов,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361 магазин</w:t>
      </w:r>
      <w:r w:rsidRPr="00A4227D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157 продовольственных, 204 непродовольственных, 32 объекта мелкорозничной торговой сети, универсальный розничный рынок.</w:t>
      </w:r>
    </w:p>
    <w:p w:rsidR="00A4227D" w:rsidRPr="00A4227D" w:rsidRDefault="00A4227D" w:rsidP="00A4227D">
      <w:pPr>
        <w:spacing w:after="0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задачи развития торговли города направлены на социальную значимость потребительского рынка и создание условий для формирования комфортной потребительской среды. На территории города сформировалась тенденция развития в пользу современных форматов торговли, это сетевые формы торговли, в том числе с применением механизмов франчайзинга и несетевые форматы торговли, существующие на конкурентных условиях, как с возможностью выбора для потребителя, так и с возможностью осуществления сбыта отечественными и местными товаропроизводителями. </w:t>
      </w:r>
    </w:p>
    <w:p w:rsidR="00A4227D" w:rsidRPr="00A4227D" w:rsidRDefault="00A4227D" w:rsidP="00A4227D">
      <w:pPr>
        <w:spacing w:after="0"/>
        <w:ind w:righ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критерием оценки доступности товаров для населения и удовлетворения спроса является достижение нормативов минимальной </w:t>
      </w:r>
      <w:r w:rsidRPr="00A42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обеспеченности населения площадью торговых объектов. Постановлением Правительства автономного округа от 05.08.2016 №291-п «О нормативах минимальной обеспеченности населения площадью стационарных торговых объектов и торговых объектов местного значения в Ханты-Мансийском автономном округе – Югре» для города Ханты-Мансийска определен норматив минимальной обеспеченности торговой площадью на 1000 жителей – 592 кв. м. Фактическая обеспеченность по состоянию на 1 января 2020 года составила – </w:t>
      </w:r>
      <w:r w:rsid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889,4 кв. м на 1000 жителей</w:t>
      </w:r>
      <w:r w:rsidRPr="00A4227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счет ввода в эксплуатацию новых площадей и открытия новых магазинов за 2019 год в данной отрасли трудоустроены 256 человек.</w:t>
      </w:r>
    </w:p>
    <w:p w:rsidR="00A4227D" w:rsidRPr="00A4227D" w:rsidRDefault="00A4227D" w:rsidP="00A422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потребности населения в торговых объектах шаговой доступности в городе продолжается работа по развитию нестационарной мелкорозничной торговой сети. Постановлением Администрации города от 10.05.2011 №601 «Об утверждении Схемы размещения нестационарных торговых объектов на территории города Ханты-Мансийска» предусмотрены 50 мест для размещения нестационарных торговых объектов, в том числе местных товаропроизводителей.</w:t>
      </w:r>
      <w:r w:rsidRPr="00A4227D">
        <w:rPr>
          <w:rFonts w:ascii="Times New Roman" w:hAnsi="Times New Roman"/>
          <w:sz w:val="28"/>
          <w:szCs w:val="28"/>
          <w:lang w:eastAsia="ru-RU" w:bidi="en-US"/>
        </w:rPr>
        <w:t xml:space="preserve"> </w:t>
      </w:r>
    </w:p>
    <w:p w:rsidR="00A4227D" w:rsidRPr="00A4227D" w:rsidRDefault="00A4227D" w:rsidP="002A4B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для города имеют межрегиональные связи. Товаропроизводители сельскохозяйственной продукции юга Тюменской области, Курганской, Свердловской, Омской, Челябинской областей, </w:t>
      </w:r>
      <w:r w:rsid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="0045049C" w:rsidRPr="0076687B">
        <w:rPr>
          <w:rFonts w:ascii="Times New Roman" w:eastAsia="Calibri" w:hAnsi="Times New Roman" w:cs="Times New Roman"/>
          <w:sz w:val="28"/>
          <w:szCs w:val="28"/>
        </w:rPr>
        <w:t>–</w:t>
      </w:r>
      <w:r w:rsidRPr="00A4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регулярно представляют свою продукцию, принимают участие, заключают контракты на городских и окружных </w:t>
      </w:r>
      <w:proofErr w:type="spellStart"/>
      <w:r w:rsidRPr="00A422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</w:t>
      </w:r>
      <w:proofErr w:type="spellEnd"/>
      <w:r w:rsidRPr="00A4227D">
        <w:rPr>
          <w:rFonts w:ascii="Times New Roman" w:eastAsia="Times New Roman" w:hAnsi="Times New Roman" w:cs="Times New Roman"/>
          <w:sz w:val="28"/>
          <w:szCs w:val="28"/>
          <w:lang w:eastAsia="ru-RU"/>
        </w:rPr>
        <w:t>-ярмарочных площадках.</w:t>
      </w:r>
    </w:p>
    <w:p w:rsidR="00A4227D" w:rsidRPr="00A4227D" w:rsidRDefault="00A4227D" w:rsidP="006F6064">
      <w:pPr>
        <w:spacing w:after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7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проведено 77 ярмарок, в которых приняли участие 180 товаропроизводителей из 26 регионов. Проведение ярмарок способствует развитию конкуренции, позволяет жителям города приобретать качественную продукцию по ценам производителя, поддерживать экономические связи.</w:t>
      </w:r>
      <w:r w:rsid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развития потребительского рынка в 2020 году будут направлены на </w:t>
      </w:r>
      <w:r w:rsidRPr="00A4227D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территориальной и ценовой доступности</w:t>
      </w:r>
      <w:r w:rsidRPr="00A422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42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товаров </w:t>
      </w:r>
      <w:r w:rsidRPr="00A422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развития торговых сетей федеральных, региональных операторов и местных торговых сетей.</w:t>
      </w:r>
    </w:p>
    <w:p w:rsidR="00A4227D" w:rsidRPr="00A4227D" w:rsidRDefault="00A4227D" w:rsidP="00A4227D">
      <w:pPr>
        <w:autoSpaceDE w:val="0"/>
        <w:autoSpaceDN w:val="0"/>
        <w:spacing w:after="0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227D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1 января 2020 года услуги общественного питания в городе предоставляли 185</w:t>
      </w:r>
      <w:r w:rsidRPr="00A4227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4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предприятий на 9404 посадочных места, в том числе 156 предприятий общедоступной сети на </w:t>
      </w:r>
      <w:r w:rsidR="002A4B52">
        <w:rPr>
          <w:rFonts w:ascii="Times New Roman" w:eastAsia="Calibri" w:hAnsi="Times New Roman" w:cs="Times New Roman"/>
          <w:sz w:val="28"/>
          <w:szCs w:val="28"/>
          <w:lang w:eastAsia="ru-RU"/>
        </w:rPr>
        <w:t>6 712 посадочных мест.</w:t>
      </w:r>
    </w:p>
    <w:p w:rsidR="00A4227D" w:rsidRPr="00A4227D" w:rsidRDefault="006F6064" w:rsidP="006F6064">
      <w:pPr>
        <w:spacing w:after="0"/>
        <w:ind w:right="142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A4227D" w:rsidRPr="00A4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2019 году открыто 21</w:t>
      </w:r>
      <w:r w:rsidR="00A4227D" w:rsidRPr="00A4227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4227D" w:rsidRPr="00A4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предприятие общественного питания на 552 посадочных места, в их числе предприятия федеральной сети, реализованные на условиях франчайзинга, а также предприятия местных операторов. </w:t>
      </w:r>
    </w:p>
    <w:p w:rsidR="00A4227D" w:rsidRPr="00A4227D" w:rsidRDefault="00A4227D" w:rsidP="00A422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27D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>а территории города функциониру</w:t>
      </w:r>
      <w:r w:rsidRPr="00A4227D">
        <w:rPr>
          <w:rFonts w:ascii="Times New Roman" w:hAnsi="Times New Roman" w:cs="Times New Roman"/>
          <w:sz w:val="28"/>
          <w:szCs w:val="28"/>
        </w:rPr>
        <w:t>ю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 xml:space="preserve">т </w:t>
      </w:r>
      <w:r w:rsidRPr="00A4227D">
        <w:rPr>
          <w:rFonts w:ascii="Times New Roman" w:hAnsi="Times New Roman" w:cs="Times New Roman"/>
          <w:sz w:val="28"/>
          <w:szCs w:val="28"/>
        </w:rPr>
        <w:t xml:space="preserve">388 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>объект</w:t>
      </w:r>
      <w:r w:rsidRPr="00A4227D">
        <w:rPr>
          <w:rFonts w:ascii="Times New Roman" w:hAnsi="Times New Roman" w:cs="Times New Roman"/>
          <w:sz w:val="28"/>
          <w:szCs w:val="28"/>
        </w:rPr>
        <w:t>ов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 xml:space="preserve"> бытового обслуживания населения</w:t>
      </w:r>
      <w:r w:rsidRPr="00A4227D">
        <w:rPr>
          <w:rFonts w:ascii="Times New Roman" w:hAnsi="Times New Roman" w:cs="Times New Roman"/>
          <w:sz w:val="28"/>
          <w:szCs w:val="28"/>
        </w:rPr>
        <w:t>,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 xml:space="preserve"> которое представлено в основном организациями малого бизнеса, удельный вес которых состав</w:t>
      </w:r>
      <w:r w:rsidR="007A3644">
        <w:rPr>
          <w:rFonts w:ascii="Times New Roman" w:hAnsi="Times New Roman" w:cs="Times New Roman"/>
          <w:sz w:val="28"/>
          <w:szCs w:val="28"/>
        </w:rPr>
        <w:t>ил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 xml:space="preserve"> более 80%. </w:t>
      </w:r>
      <w:r w:rsidRPr="00A4227D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 xml:space="preserve">города </w:t>
      </w:r>
      <w:r w:rsidRPr="00A4227D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 xml:space="preserve">порядка 800 различных видов услуг. </w:t>
      </w:r>
    </w:p>
    <w:p w:rsidR="00A4227D" w:rsidRPr="00A4227D" w:rsidRDefault="00A4227D" w:rsidP="00A422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27D">
        <w:rPr>
          <w:rFonts w:ascii="Times New Roman" w:hAnsi="Times New Roman" w:cs="Times New Roman"/>
          <w:sz w:val="28"/>
          <w:szCs w:val="28"/>
          <w:lang w:val="x-none"/>
        </w:rPr>
        <w:t>За</w:t>
      </w:r>
      <w:r w:rsidR="006F6064">
        <w:rPr>
          <w:rFonts w:ascii="Times New Roman" w:hAnsi="Times New Roman" w:cs="Times New Roman"/>
          <w:sz w:val="28"/>
          <w:szCs w:val="28"/>
        </w:rPr>
        <w:t xml:space="preserve"> 2019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A4227D">
        <w:rPr>
          <w:rFonts w:ascii="Times New Roman" w:hAnsi="Times New Roman" w:cs="Times New Roman"/>
          <w:sz w:val="28"/>
          <w:szCs w:val="28"/>
        </w:rPr>
        <w:t>год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A4227D">
        <w:rPr>
          <w:rFonts w:ascii="Times New Roman" w:hAnsi="Times New Roman" w:cs="Times New Roman"/>
          <w:sz w:val="28"/>
          <w:szCs w:val="28"/>
        </w:rPr>
        <w:t xml:space="preserve">в Ханты-Мансийске 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>открыт</w:t>
      </w:r>
      <w:r w:rsidRPr="00A4227D">
        <w:rPr>
          <w:rFonts w:ascii="Times New Roman" w:hAnsi="Times New Roman" w:cs="Times New Roman"/>
          <w:sz w:val="28"/>
          <w:szCs w:val="28"/>
        </w:rPr>
        <w:t>о 8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A4227D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>объект</w:t>
      </w:r>
      <w:r w:rsidRPr="00A4227D">
        <w:rPr>
          <w:rFonts w:ascii="Times New Roman" w:hAnsi="Times New Roman" w:cs="Times New Roman"/>
          <w:sz w:val="28"/>
          <w:szCs w:val="28"/>
        </w:rPr>
        <w:t>ов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 xml:space="preserve"> по оказанию бытовых услу</w:t>
      </w:r>
      <w:r w:rsidRPr="00A4227D">
        <w:rPr>
          <w:rFonts w:ascii="Times New Roman" w:hAnsi="Times New Roman" w:cs="Times New Roman"/>
          <w:sz w:val="28"/>
          <w:szCs w:val="28"/>
        </w:rPr>
        <w:t>г</w:t>
      </w:r>
      <w:r w:rsidRPr="00A4227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F606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A4227D">
        <w:rPr>
          <w:rFonts w:ascii="Times New Roman" w:hAnsi="Times New Roman" w:cs="Times New Roman"/>
          <w:sz w:val="28"/>
          <w:szCs w:val="28"/>
          <w:lang w:eastAsia="ru-RU"/>
        </w:rPr>
        <w:t xml:space="preserve"> городе успешно работают свыше 50 высококлассных салонов, ателье, мастерских, которые стремятся к достижению современного сервиса – проводят мероприятия по повышению качества услуг и культуры обслуживания. </w:t>
      </w:r>
    </w:p>
    <w:p w:rsidR="00A4227D" w:rsidRPr="00A4227D" w:rsidRDefault="00A4227D" w:rsidP="002A4B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27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44 Закона Российской Федерации от 07.02.1992 №2300-1 «О защите прав потребителей» защиту прав потребителей на территории муниципального образования осуществляет орган местного самоуправления. </w:t>
      </w:r>
    </w:p>
    <w:p w:rsidR="00A4227D" w:rsidRPr="00A4227D" w:rsidRDefault="00A4227D" w:rsidP="002A4B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27D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за консультацией либо содействием в защите прав потребителей обратилось 1 216 граждан (в 2018 году – 1 287). </w:t>
      </w:r>
      <w:r w:rsidRPr="00A4227D">
        <w:rPr>
          <w:rFonts w:ascii="Times New Roman" w:hAnsi="Times New Roman" w:cs="Times New Roman"/>
          <w:sz w:val="28"/>
          <w:szCs w:val="28"/>
        </w:rPr>
        <w:t xml:space="preserve">Из числа поступивших обращений 84% приходится на сферу торговли и 16% – на сферу услуг. </w:t>
      </w:r>
      <w:r w:rsidRPr="00A4227D">
        <w:rPr>
          <w:rFonts w:ascii="Times New Roman" w:hAnsi="Times New Roman" w:cs="Times New Roman"/>
          <w:sz w:val="28"/>
          <w:szCs w:val="28"/>
          <w:lang w:eastAsia="ru-RU"/>
        </w:rPr>
        <w:t xml:space="preserve">В добровольном порядке без судебного разбирательства удалось урегулировать 609 спорных ситуаций </w:t>
      </w:r>
      <w:r w:rsidRPr="00A4227D">
        <w:rPr>
          <w:rFonts w:ascii="Times New Roman" w:hAnsi="Times New Roman" w:cs="Times New Roman"/>
          <w:sz w:val="28"/>
          <w:szCs w:val="28"/>
        </w:rPr>
        <w:t>между потребителями и хозяйствующими субъектами</w:t>
      </w:r>
      <w:r w:rsidRPr="00A4227D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132 дела по письменным претензиям, </w:t>
      </w:r>
      <w:r w:rsidRPr="00A4227D">
        <w:rPr>
          <w:rFonts w:ascii="Times New Roman" w:hAnsi="Times New Roman" w:cs="Times New Roman"/>
          <w:sz w:val="28"/>
          <w:szCs w:val="28"/>
        </w:rPr>
        <w:t>подготовленными с помощью специалистов по защите прав потребителей.</w:t>
      </w:r>
      <w:r w:rsidR="002A4B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27D">
        <w:rPr>
          <w:rFonts w:ascii="Times New Roman" w:hAnsi="Times New Roman" w:cs="Times New Roman"/>
          <w:sz w:val="28"/>
          <w:szCs w:val="28"/>
          <w:lang w:eastAsia="ru-RU"/>
        </w:rPr>
        <w:t>По сравнению с 2018 годом количество обращений снизилось на 6%.</w:t>
      </w:r>
    </w:p>
    <w:p w:rsidR="0023133D" w:rsidRDefault="00A4227D" w:rsidP="006F60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27D">
        <w:rPr>
          <w:rFonts w:ascii="Times New Roman" w:hAnsi="Times New Roman" w:cs="Times New Roman"/>
          <w:sz w:val="28"/>
          <w:szCs w:val="28"/>
        </w:rPr>
        <w:tab/>
      </w:r>
    </w:p>
    <w:p w:rsidR="0023133D" w:rsidRDefault="0023133D" w:rsidP="00207D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1.7. </w:t>
      </w:r>
      <w:r w:rsidR="001A52B9">
        <w:rPr>
          <w:rFonts w:ascii="Times New Roman" w:hAnsi="Times New Roman" w:cs="Times New Roman"/>
          <w:b/>
          <w:sz w:val="28"/>
          <w:szCs w:val="28"/>
        </w:rPr>
        <w:t>Криминогенная обстановка</w:t>
      </w:r>
    </w:p>
    <w:p w:rsidR="00270159" w:rsidRPr="003C6215" w:rsidRDefault="00270159" w:rsidP="00207D0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6064" w:rsidRPr="006F6064" w:rsidRDefault="006F6064" w:rsidP="006F6064">
      <w:pPr>
        <w:spacing w:after="0"/>
        <w:ind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влияния на криминогенную обстановку в 2019 году Администрацией города Ханты-Мансийска во взаимодействии с правоохранительными органами и иными субъектами профилактики на территории города Ханты-Мансийска проводились мероприятия, направленные на предупреждение совершения правонарушений.</w:t>
      </w:r>
    </w:p>
    <w:p w:rsidR="006F6064" w:rsidRPr="006F6064" w:rsidRDefault="006F6064" w:rsidP="006F6064">
      <w:pPr>
        <w:spacing w:after="0"/>
        <w:ind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работы Межведомственных комиссий города </w:t>
      </w:r>
      <w:r w:rsid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по профилактике экстремизма, профилактике правонарушений, Антинаркотической и Антитеррористической комиссии рассматривались вопросы взаимодействия органов Администрации города и правоохранительных органов, вырабатывались решения, направленные на снижение как преступности в целом, так и отдельных видов преступлений. </w:t>
      </w:r>
    </w:p>
    <w:p w:rsidR="006F6064" w:rsidRPr="006F6064" w:rsidRDefault="006F6064" w:rsidP="006F60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муниципальной программы «Профилактика правонарушений в сфере обеспечения общественной безопасности и правопорядка в городе Ханты-Мансийске»  обеспечена работа </w:t>
      </w: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на улицах города систем видеонаблюдения и видеоконтроля, обеспечены условия участия общественности в охране общественного порядка.</w:t>
      </w:r>
    </w:p>
    <w:p w:rsidR="006F6064" w:rsidRPr="006F6064" w:rsidRDefault="006F6064" w:rsidP="006F60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систем видеонаблюдения раскрыто 13 преступлений, выявлено 752 правонарушений в сфере обеспечения правопорядка и</w:t>
      </w:r>
      <w:r w:rsidRPr="006F60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25041 нарушение правил дорожного движения.  С участием членов добровольных народных дружин выявлено 141 правонарушение.</w:t>
      </w:r>
    </w:p>
    <w:p w:rsidR="006F6064" w:rsidRPr="006F6064" w:rsidRDefault="006F6064" w:rsidP="006F60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на территории города Ханты-Мансийска зарегистрировано 1678 преступлений, что на 16,9% больше аналогичного периода 201</w:t>
      </w:r>
      <w:r w:rsid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(1436).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имущественных преступлений количество зарегистрированных фактов мошенничества увеличилось на 54,2% и составило 367 преступлений (2018 – 238), количество грабежей увеличилось в 2,3 раза с 10 до 23, разбойных нападений на 100% с 0 до 1, зарегистрировано 18 неправомерных завладений транспортным средством (2018 – 6), рост в 3 раза. Количество зарегистрированных краж увеличилось на 10,5% и составило 482 преступления (2018</w:t>
      </w:r>
      <w:r w:rsid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49C" w:rsidRPr="0076687B">
        <w:rPr>
          <w:rFonts w:ascii="Times New Roman" w:eastAsia="Calibri" w:hAnsi="Times New Roman" w:cs="Times New Roman"/>
          <w:sz w:val="28"/>
          <w:szCs w:val="28"/>
        </w:rPr>
        <w:t>–</w:t>
      </w:r>
      <w:r w:rsidR="00450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436).</w:t>
      </w:r>
    </w:p>
    <w:p w:rsidR="006F6064" w:rsidRPr="006F6064" w:rsidRDefault="006F6064" w:rsidP="00C465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преступлений против личности, зарегистрировано 8 фактов совершения умышленного убийства, рост на 100% (2018 – 4).  При этом отмечается отсутствие </w:t>
      </w:r>
      <w:r w:rsidR="002A4B52"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преступлений,</w:t>
      </w: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изнасилованием и покушением на изнасилование (2018 – 2), количество </w:t>
      </w:r>
      <w:r w:rsidR="002A4B52"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преступлений,</w:t>
      </w: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умышленное причинение вреда здоровью зарегистрировано на уровне 2018 года (20). </w:t>
      </w:r>
    </w:p>
    <w:p w:rsidR="006F6064" w:rsidRPr="006F6064" w:rsidRDefault="006F6064" w:rsidP="006F60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незаконного оборота наркотиков выявлено 203 преступления, что на 6,3% выше показателя 2018 года (191).  </w:t>
      </w:r>
    </w:p>
    <w:p w:rsidR="006F6064" w:rsidRPr="006F6064" w:rsidRDefault="006F6064" w:rsidP="006F60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общественных местах города  совершено 653 преступления, что на 18,7% выше показателя 2018 года (550). На улицах города совершено 374 преступления, что 3,8% выше показателя 2018 года (360). Отмечается рост на 52,3% преступлений совершенных несовершеннолетними (с 21 до 32), на 4,3% ранее судимыми лицами (с 208</w:t>
      </w:r>
      <w:r w:rsid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217), на 18,5% преступлений, </w:t>
      </w: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совершенных иностранными гражданами (с 27 до 32).</w:t>
      </w:r>
    </w:p>
    <w:p w:rsidR="006F6064" w:rsidRPr="006F6064" w:rsidRDefault="006F6064" w:rsidP="006F60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экономической сфере в 2019 году зарегистрировано 91 преступление, что на 25,4% ниже соответствующего периода 2018 года (122). Так же, отмечается снижение преступлений коррупционной направленности на 39,6% (с 48 до 29).</w:t>
      </w:r>
    </w:p>
    <w:p w:rsidR="006F6064" w:rsidRPr="006F6064" w:rsidRDefault="006F6064" w:rsidP="002A4B5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Преступлений, связанных с проявлениями национального и религиозного экстремизма, а также террористической направленности на территории города Ханты-Мансийска в 2019 году не зарегистрировано.  </w:t>
      </w:r>
    </w:p>
    <w:p w:rsidR="006F6064" w:rsidRPr="006F6064" w:rsidRDefault="006F6064" w:rsidP="00C465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по итогам 2019 года на территории города </w:t>
      </w:r>
      <w:r w:rsid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имеют место следующие тенденции ра</w:t>
      </w:r>
      <w:r w:rsid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 криминогенной обстановки:</w:t>
      </w:r>
    </w:p>
    <w:p w:rsidR="006F6064" w:rsidRPr="003B19BA" w:rsidRDefault="003B19BA" w:rsidP="003B19BA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6064" w:rsidRP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тмечается рост общего количества зарегистрированных преступлений, который обусловлен увеличением количества зарегистрированных фактов мошенничеств и выявленных </w:t>
      </w:r>
      <w:proofErr w:type="spellStart"/>
      <w:r w:rsidR="006F6064" w:rsidRP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наркопреступлений</w:t>
      </w:r>
      <w:proofErr w:type="spellEnd"/>
      <w:r w:rsidR="006F6064" w:rsidRP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преступлений,</w:t>
      </w:r>
      <w:r w:rsidR="006F6064" w:rsidRP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совершенных в 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местах и на улицах города;</w:t>
      </w:r>
    </w:p>
    <w:p w:rsidR="006F6064" w:rsidRPr="003B19BA" w:rsidRDefault="003B19BA" w:rsidP="003B19BA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F6064" w:rsidRP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 преступлений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6064" w:rsidRP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совершенных несовершеннолетними, ранее судимыми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ицами и иностранными гражданами;</w:t>
      </w:r>
    </w:p>
    <w:p w:rsidR="006F6064" w:rsidRPr="003B19BA" w:rsidRDefault="006F6064" w:rsidP="003B19BA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снижение </w:t>
      </w:r>
      <w:r w:rsidR="003B19BA" w:rsidRP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преступлений,</w:t>
      </w:r>
      <w:r w:rsidRP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совершенных в экономической сфере</w:t>
      </w:r>
      <w:r w:rsid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коррупционной направленности;</w:t>
      </w:r>
    </w:p>
    <w:p w:rsidR="006F6064" w:rsidRPr="003B19BA" w:rsidRDefault="003B19BA" w:rsidP="003B19BA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реступлений,</w:t>
      </w:r>
      <w:r w:rsidR="006F6064" w:rsidRP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изнасилованием и покушением на изнасилование не зарегистрировано. </w:t>
      </w:r>
    </w:p>
    <w:p w:rsidR="006F6064" w:rsidRPr="006F6064" w:rsidRDefault="006F6064" w:rsidP="002A4B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реализованных мероприятий позволил сохранить контроль за состоянием криминогенной ситуации.</w:t>
      </w:r>
    </w:p>
    <w:p w:rsidR="001A52B9" w:rsidRPr="001A52B9" w:rsidRDefault="001A52B9" w:rsidP="001A5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6E" w:rsidRPr="00EE3823" w:rsidRDefault="00816F6E" w:rsidP="00207D0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823">
        <w:rPr>
          <w:rFonts w:ascii="Times New Roman" w:hAnsi="Times New Roman" w:cs="Times New Roman"/>
          <w:b/>
          <w:bCs/>
          <w:sz w:val="28"/>
          <w:szCs w:val="28"/>
        </w:rPr>
        <w:t>1.8. Состояние жилищного фонда</w:t>
      </w:r>
    </w:p>
    <w:p w:rsidR="00816F6E" w:rsidRPr="00EE3823" w:rsidRDefault="00816F6E" w:rsidP="00207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823" w:rsidRPr="00EE3823" w:rsidRDefault="00EE3823" w:rsidP="00EE3823">
      <w:pPr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E382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C46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E3823">
        <w:rPr>
          <w:rFonts w:ascii="Times New Roman" w:eastAsia="Calibri" w:hAnsi="Times New Roman" w:cs="Times New Roman"/>
          <w:sz w:val="28"/>
          <w:szCs w:val="28"/>
          <w:lang w:eastAsia="ru-RU"/>
        </w:rPr>
        <w:t>2019</w:t>
      </w:r>
      <w:r w:rsidR="00AE7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E38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году общая площадь жилищного фонда города </w:t>
      </w:r>
      <w:r w:rsidR="00AE795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E3823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 (по оперативным данным) уве</w:t>
      </w:r>
      <w:r w:rsidR="00AE7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личилась на 81,9 тыс. кв. м. и </w:t>
      </w:r>
      <w:r w:rsidRPr="00EE38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составила </w:t>
      </w:r>
      <w:r w:rsidRPr="00EE3823">
        <w:rPr>
          <w:rFonts w:ascii="Times New Roman" w:eastAsia="Calibri" w:hAnsi="Times New Roman" w:cs="Times New Roman"/>
          <w:sz w:val="28"/>
          <w:szCs w:val="28"/>
        </w:rPr>
        <w:t>2430,3</w:t>
      </w:r>
      <w:r w:rsidRPr="00EE38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кв. м. По результатам мониторинга технического состояния многоквартирных домов по состоянию на 01.01.2020 число многоквартирных домов </w:t>
      </w:r>
      <w:r w:rsidRPr="00EE3823">
        <w:rPr>
          <w:rFonts w:ascii="Times New Roman" w:eastAsia="Calibri" w:hAnsi="Times New Roman" w:cs="Times New Roman"/>
          <w:sz w:val="28"/>
          <w:szCs w:val="28"/>
        </w:rPr>
        <w:t>состав</w:t>
      </w:r>
      <w:r w:rsidR="00C5549C">
        <w:rPr>
          <w:rFonts w:ascii="Times New Roman" w:eastAsia="Calibri" w:hAnsi="Times New Roman" w:cs="Times New Roman"/>
          <w:sz w:val="28"/>
          <w:szCs w:val="28"/>
        </w:rPr>
        <w:t>ило</w:t>
      </w:r>
      <w:r w:rsidRPr="00EE3823">
        <w:rPr>
          <w:rFonts w:ascii="Times New Roman" w:eastAsia="Calibri" w:hAnsi="Times New Roman" w:cs="Times New Roman"/>
          <w:sz w:val="28"/>
          <w:szCs w:val="28"/>
        </w:rPr>
        <w:t xml:space="preserve"> 1 116 ед. (</w:t>
      </w:r>
      <w:r w:rsidR="00AE795F">
        <w:rPr>
          <w:rFonts w:ascii="Times New Roman" w:eastAsia="Calibri" w:hAnsi="Times New Roman" w:cs="Times New Roman"/>
          <w:sz w:val="28"/>
          <w:szCs w:val="28"/>
        </w:rPr>
        <w:t>на 01.01.2019</w:t>
      </w:r>
      <w:r w:rsidRPr="00EE3823">
        <w:rPr>
          <w:rFonts w:ascii="Times New Roman" w:eastAsia="Calibri" w:hAnsi="Times New Roman" w:cs="Times New Roman"/>
          <w:sz w:val="28"/>
          <w:szCs w:val="28"/>
        </w:rPr>
        <w:t xml:space="preserve"> – 1135 ед.) общей площадью жилых помещений 1920,1 тыс. кв.</w:t>
      </w:r>
      <w:r w:rsidR="00AE7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823">
        <w:rPr>
          <w:rFonts w:ascii="Times New Roman" w:eastAsia="Calibri" w:hAnsi="Times New Roman" w:cs="Times New Roman"/>
          <w:sz w:val="28"/>
          <w:szCs w:val="28"/>
        </w:rPr>
        <w:t>м. (</w:t>
      </w:r>
      <w:r w:rsidR="00AE795F">
        <w:rPr>
          <w:rFonts w:ascii="Times New Roman" w:eastAsia="Calibri" w:hAnsi="Times New Roman" w:cs="Times New Roman"/>
          <w:sz w:val="28"/>
          <w:szCs w:val="28"/>
        </w:rPr>
        <w:t>на 01.01.2019</w:t>
      </w:r>
      <w:r w:rsidRPr="00EE3823">
        <w:rPr>
          <w:rFonts w:ascii="Times New Roman" w:eastAsia="Calibri" w:hAnsi="Times New Roman" w:cs="Times New Roman"/>
          <w:sz w:val="28"/>
          <w:szCs w:val="28"/>
        </w:rPr>
        <w:t xml:space="preserve"> – 1897,6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823">
        <w:rPr>
          <w:rFonts w:ascii="Times New Roman" w:eastAsia="Calibri" w:hAnsi="Times New Roman" w:cs="Times New Roman"/>
          <w:sz w:val="28"/>
          <w:szCs w:val="28"/>
        </w:rPr>
        <w:t>тыс. кв.</w:t>
      </w:r>
      <w:r w:rsidR="00AE7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823">
        <w:rPr>
          <w:rFonts w:ascii="Times New Roman" w:eastAsia="Calibri" w:hAnsi="Times New Roman" w:cs="Times New Roman"/>
          <w:sz w:val="28"/>
          <w:szCs w:val="28"/>
        </w:rPr>
        <w:t>м.).</w:t>
      </w:r>
      <w:r w:rsidRPr="00EE38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E3823">
        <w:rPr>
          <w:rFonts w:ascii="Times New Roman" w:eastAsia="Calibri" w:hAnsi="Times New Roman" w:cs="Calibri"/>
          <w:sz w:val="28"/>
          <w:szCs w:val="28"/>
        </w:rPr>
        <w:t>Удельный вес общей площади жилищного фонда города, имеющей комплексное благоустройство по состоянию на 01.01.2020 года состав</w:t>
      </w:r>
      <w:r w:rsidR="00C5549C">
        <w:rPr>
          <w:rFonts w:ascii="Times New Roman" w:eastAsia="Calibri" w:hAnsi="Times New Roman" w:cs="Calibri"/>
          <w:sz w:val="28"/>
          <w:szCs w:val="28"/>
        </w:rPr>
        <w:t>ило</w:t>
      </w:r>
      <w:r w:rsidRPr="00EE3823">
        <w:rPr>
          <w:rFonts w:ascii="Times New Roman" w:eastAsia="Calibri" w:hAnsi="Times New Roman" w:cs="Calibri"/>
          <w:sz w:val="28"/>
          <w:szCs w:val="28"/>
        </w:rPr>
        <w:t xml:space="preserve"> 75,6 % (</w:t>
      </w:r>
      <w:r w:rsidR="00AE795F">
        <w:rPr>
          <w:rFonts w:ascii="Times New Roman" w:eastAsia="Calibri" w:hAnsi="Times New Roman" w:cs="Calibri"/>
          <w:sz w:val="28"/>
          <w:szCs w:val="28"/>
        </w:rPr>
        <w:t>на 01.01.2019</w:t>
      </w:r>
      <w:r w:rsidRPr="00EE3823">
        <w:rPr>
          <w:rFonts w:ascii="Times New Roman" w:eastAsia="Calibri" w:hAnsi="Times New Roman" w:cs="Calibri"/>
          <w:sz w:val="28"/>
          <w:szCs w:val="28"/>
        </w:rPr>
        <w:t xml:space="preserve"> – 75,1 %).</w:t>
      </w:r>
    </w:p>
    <w:p w:rsidR="004E32FA" w:rsidRPr="00404E3B" w:rsidRDefault="004E32FA" w:rsidP="004E32F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32FA" w:rsidRPr="00404E3B" w:rsidRDefault="004E32FA" w:rsidP="004E32F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D3954" w:rsidRPr="00404E3B" w:rsidRDefault="00AD3954" w:rsidP="004E32F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  <w:highlight w:val="yellow"/>
        </w:rPr>
        <w:sectPr w:rsidR="00AD3954" w:rsidRPr="00404E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32FA" w:rsidRPr="00EE3823" w:rsidRDefault="004E32FA" w:rsidP="004E32F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3823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EE3823" w:rsidRPr="00EE3823" w:rsidRDefault="00EE3823" w:rsidP="004E32F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55875" w:rsidRPr="00EE3823" w:rsidRDefault="00B55875" w:rsidP="004E32FA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823">
        <w:rPr>
          <w:rFonts w:ascii="Times New Roman" w:hAnsi="Times New Roman" w:cs="Times New Roman"/>
          <w:sz w:val="28"/>
          <w:szCs w:val="28"/>
        </w:rPr>
        <w:t>Информация о состоянии жилищного фонда в городских округах и муниципальных районах Ханты-Мансийского автономного округа - Югры за отчетный период, кв. метров</w:t>
      </w:r>
    </w:p>
    <w:p w:rsidR="00B55875" w:rsidRPr="00EE3823" w:rsidRDefault="00B55875" w:rsidP="004E32FA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3823">
        <w:rPr>
          <w:rFonts w:ascii="Times New Roman" w:hAnsi="Times New Roman" w:cs="Times New Roman"/>
          <w:sz w:val="28"/>
          <w:szCs w:val="28"/>
          <w:u w:val="single"/>
        </w:rPr>
        <w:t>город Ханты-Мансийск</w:t>
      </w:r>
    </w:p>
    <w:p w:rsidR="00AD3954" w:rsidRPr="00EE3823" w:rsidRDefault="00B55875" w:rsidP="004E32FA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3823">
        <w:rPr>
          <w:rFonts w:ascii="Times New Roman" w:hAnsi="Times New Roman" w:cs="Times New Roman"/>
          <w:sz w:val="20"/>
          <w:szCs w:val="20"/>
        </w:rPr>
        <w:t>наименование городского округа (муниципального района)</w:t>
      </w:r>
    </w:p>
    <w:tbl>
      <w:tblPr>
        <w:tblW w:w="1530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9"/>
        <w:gridCol w:w="1602"/>
        <w:gridCol w:w="1436"/>
        <w:gridCol w:w="1436"/>
        <w:gridCol w:w="1523"/>
        <w:gridCol w:w="991"/>
        <w:gridCol w:w="1417"/>
        <w:gridCol w:w="1134"/>
        <w:gridCol w:w="1559"/>
        <w:gridCol w:w="1134"/>
        <w:gridCol w:w="1699"/>
      </w:tblGrid>
      <w:tr w:rsidR="00AD3954" w:rsidRPr="00EE3823" w:rsidTr="00460816">
        <w:trPr>
          <w:trHeight w:val="330"/>
        </w:trPr>
        <w:tc>
          <w:tcPr>
            <w:tcW w:w="1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60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площадь жилых помещений на начало года, всего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Выбыло общей площади жилых помещений за год, всего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площадь жилых помещений, введенная в действие за год</w:t>
            </w:r>
          </w:p>
        </w:tc>
      </w:tr>
      <w:tr w:rsidR="00AD3954" w:rsidRPr="00EE3823" w:rsidTr="00460816">
        <w:trPr>
          <w:trHeight w:val="19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3954" w:rsidRPr="00EE3823" w:rsidRDefault="00AD3954" w:rsidP="00AD3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D3954" w:rsidRPr="00EE3823" w:rsidRDefault="00AD3954" w:rsidP="00AD3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ветхого жилищного фонда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аварийного жилищного фонда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пригодного для проживания жилищного фонда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D3954" w:rsidRPr="00EE3823" w:rsidRDefault="00AD3954" w:rsidP="00AD3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снесено по причине ветхости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снесено по причине аварийности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причины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D3954" w:rsidRPr="00EE3823" w:rsidRDefault="00AD3954" w:rsidP="00AD3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8D2" w:rsidRPr="00EE3823" w:rsidTr="008532C5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2 014 700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85 500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23 400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1 905 800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110 000</w:t>
            </w:r>
          </w:p>
        </w:tc>
      </w:tr>
      <w:tr w:rsidR="002D68D2" w:rsidRPr="00EE3823" w:rsidTr="008532C5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2 150 500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74 800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2 049 500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</w:tr>
      <w:tr w:rsidR="002D68D2" w:rsidRPr="00EE3823" w:rsidTr="00460816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2 294 352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81 000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2 189 352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67 973</w:t>
            </w:r>
          </w:p>
        </w:tc>
      </w:tr>
      <w:tr w:rsidR="002D68D2" w:rsidRPr="00EE3823" w:rsidTr="008532C5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2 351 625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22 700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2 328 925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81 875</w:t>
            </w:r>
          </w:p>
        </w:tc>
      </w:tr>
      <w:tr w:rsidR="002D68D2" w:rsidRPr="00EE3823" w:rsidTr="008532C5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2 430 300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22 200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2 408 100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110 000</w:t>
            </w:r>
          </w:p>
        </w:tc>
      </w:tr>
      <w:tr w:rsidR="002D68D2" w:rsidRPr="00EE3823" w:rsidTr="00460816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2 525 300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2 500 300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110 000</w:t>
            </w:r>
          </w:p>
        </w:tc>
      </w:tr>
      <w:tr w:rsidR="002D68D2" w:rsidRPr="00404E3B" w:rsidTr="00774201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2 620 300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2 595 300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860669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110 000</w:t>
            </w:r>
          </w:p>
        </w:tc>
      </w:tr>
    </w:tbl>
    <w:p w:rsidR="00B55875" w:rsidRPr="009F220B" w:rsidRDefault="00B55875" w:rsidP="004E32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3954" w:rsidRDefault="00AD3954" w:rsidP="004E32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AD3954" w:rsidSect="00AD39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60816" w:rsidRPr="00460816" w:rsidRDefault="00460816" w:rsidP="00C465F4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08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1.9. Охрана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прав граждан и юридических лиц</w:t>
      </w:r>
    </w:p>
    <w:p w:rsidR="00460816" w:rsidRDefault="00460816" w:rsidP="0046081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4E3B" w:rsidRPr="00404E3B" w:rsidRDefault="00404E3B" w:rsidP="00404E3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P572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404E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2019 году в суды поступило всего 29 обращений физических и юридических лиц по обжалованию действий (бездействий) органов Администрации города Ханты-Мансийска, что на 24,1% (7 обращений) больше по сравнению </w:t>
      </w:r>
      <w:r w:rsidR="00E060C0">
        <w:rPr>
          <w:rFonts w:ascii="Times New Roman" w:eastAsia="Times New Roman" w:hAnsi="Times New Roman" w:cs="Times New Roman"/>
          <w:sz w:val="28"/>
          <w:szCs w:val="20"/>
          <w:lang w:eastAsia="ru-RU"/>
        </w:rPr>
        <w:t>с 2018 годом</w:t>
      </w:r>
      <w:r w:rsidRPr="00404E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(22 обраще</w:t>
      </w:r>
      <w:r w:rsidR="00E060C0">
        <w:rPr>
          <w:rFonts w:ascii="Times New Roman" w:eastAsia="Times New Roman" w:hAnsi="Times New Roman" w:cs="Times New Roman"/>
          <w:sz w:val="28"/>
          <w:szCs w:val="20"/>
          <w:lang w:eastAsia="ru-RU"/>
        </w:rPr>
        <w:t>ния). Из общего числа обращений</w:t>
      </w:r>
      <w:r w:rsidRPr="00404E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основную долю 89,6% (26 обращений) составляют обращения физических лиц, что на 23,% больше по сравнению с 2018 годом (20</w:t>
      </w:r>
      <w:r w:rsidR="00E060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60C0" w:rsidRPr="00404E3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обращений</w:t>
      </w:r>
      <w:r w:rsidRPr="00404E3B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404E3B" w:rsidRPr="00404E3B" w:rsidRDefault="00404E3B" w:rsidP="00404E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E3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Доля обращений юридических лиц от общего числа незначительна 10,3%</w:t>
      </w:r>
      <w:r w:rsidR="00E060C0">
        <w:rPr>
          <w:rFonts w:ascii="Times New Roman" w:eastAsia="Times New Roman" w:hAnsi="Times New Roman" w:cs="Times New Roman"/>
          <w:sz w:val="28"/>
          <w:szCs w:val="20"/>
          <w:lang w:eastAsia="ru-RU"/>
        </w:rPr>
        <w:t>, что</w:t>
      </w:r>
      <w:r w:rsidRPr="00404E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1% больше показателя 2018 года (9%).</w:t>
      </w:r>
    </w:p>
    <w:p w:rsidR="00404E3B" w:rsidRPr="00404E3B" w:rsidRDefault="00404E3B" w:rsidP="00404E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E3B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Наибольшее количество обращений из общего числа составляют обращения в сфере жилищных и земельных отношений 93,1% (27 обращений).</w:t>
      </w:r>
    </w:p>
    <w:p w:rsidR="00404E3B" w:rsidRPr="00404E3B" w:rsidRDefault="00404E3B" w:rsidP="00404E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E3B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Всего в 2019 году судами удовлетворено 5 обращений, что составляет 17,2% от общего числа обращений. В 2018 году судами удовлетворено 7 обращений, что составляет 31,8% общего числа обращений, т.е. в 2019 году на 14,6% меньше по сравнению с прошлым годом удовлетворено обращений физических и юридических лиц по обжалованию действий (бездействий) органов Администрации города Ханты-Мансийска.</w:t>
      </w:r>
    </w:p>
    <w:p w:rsidR="00404E3B" w:rsidRPr="00404E3B" w:rsidRDefault="00404E3B" w:rsidP="00404E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E3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этом судами в 2019 году принято решений об отказе в удовлетворении 24 обращений, что  составляет 82,7% от общего числа обращений. В 2018 году судами отказано в удовлетворении 13 обращений, что составлял</w:t>
      </w:r>
      <w:r w:rsidR="00E060C0">
        <w:rPr>
          <w:rFonts w:ascii="Times New Roman" w:eastAsia="Times New Roman" w:hAnsi="Times New Roman" w:cs="Times New Roman"/>
          <w:sz w:val="28"/>
          <w:szCs w:val="20"/>
          <w:lang w:eastAsia="ru-RU"/>
        </w:rPr>
        <w:t>о 59% от общего числа обращений</w:t>
      </w:r>
      <w:r w:rsidRPr="00404E3B">
        <w:rPr>
          <w:rFonts w:ascii="Times New Roman" w:eastAsia="Times New Roman" w:hAnsi="Times New Roman" w:cs="Times New Roman"/>
          <w:sz w:val="28"/>
          <w:szCs w:val="20"/>
          <w:lang w:eastAsia="ru-RU"/>
        </w:rPr>
        <w:t>, т.е. в 2019 году на 23,7% больше по сравнению с 2018 годом судами принято решений об отказе в удовлетворении обращений физических и юридических лиц по обжалованию действий (бездействий) органов Администрации города Ханты-Мансийска.</w:t>
      </w:r>
    </w:p>
    <w:p w:rsidR="00404E3B" w:rsidRPr="00404E3B" w:rsidRDefault="00404E3B" w:rsidP="00404E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E3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принятых судами решений об удовлетворении и об отказе в удовлетворении обращений физических и юридических лиц по обжалованию действий (бездействий) органов Администрации города Ханты-Мансийска показывает эффективность деятельности органов Администрации города Ханты-Мансийска в 2019 году по сравнению с 2018 годом.</w:t>
      </w:r>
    </w:p>
    <w:p w:rsidR="006A27D7" w:rsidRDefault="006A27D7" w:rsidP="00207D0D">
      <w:pPr>
        <w:widowControl w:val="0"/>
        <w:autoSpaceDE w:val="0"/>
        <w:autoSpaceDN w:val="0"/>
        <w:spacing w:after="0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  <w:sectPr w:rsidR="006A27D7" w:rsidSect="0046081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0B5A" w:rsidRDefault="006E0B5A" w:rsidP="006E0B5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6E0B5A" w:rsidRPr="00BF613F" w:rsidRDefault="006E0B5A" w:rsidP="00B578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613F">
        <w:rPr>
          <w:rFonts w:ascii="Times New Roman" w:hAnsi="Times New Roman" w:cs="Times New Roman"/>
          <w:sz w:val="26"/>
          <w:szCs w:val="26"/>
        </w:rPr>
        <w:t>Количество допущенных нарушений прав граждан и юридических лиц, подтвержденных судебными актами</w:t>
      </w:r>
    </w:p>
    <w:p w:rsidR="006E0B5A" w:rsidRPr="00BF613F" w:rsidRDefault="006E0B5A" w:rsidP="00B578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613F">
        <w:rPr>
          <w:rFonts w:ascii="Times New Roman" w:hAnsi="Times New Roman" w:cs="Times New Roman"/>
          <w:sz w:val="26"/>
          <w:szCs w:val="26"/>
        </w:rPr>
        <w:t>____го</w:t>
      </w:r>
      <w:r w:rsidR="00B5785B">
        <w:rPr>
          <w:rFonts w:ascii="Times New Roman" w:hAnsi="Times New Roman" w:cs="Times New Roman"/>
          <w:sz w:val="26"/>
          <w:szCs w:val="26"/>
        </w:rPr>
        <w:t>род Ханты-Мансийск___</w:t>
      </w:r>
    </w:p>
    <w:p w:rsidR="006E0B5A" w:rsidRPr="00BF613F" w:rsidRDefault="006E0B5A" w:rsidP="00B5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F613F">
        <w:rPr>
          <w:rFonts w:ascii="Times New Roman" w:hAnsi="Times New Roman" w:cs="Times New Roman"/>
          <w:sz w:val="26"/>
          <w:szCs w:val="26"/>
        </w:rPr>
        <w:t>наименование городского округа (муниципального района)</w:t>
      </w:r>
    </w:p>
    <w:tbl>
      <w:tblPr>
        <w:tblW w:w="1597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29"/>
        <w:gridCol w:w="599"/>
      </w:tblGrid>
      <w:tr w:rsidR="00460816" w:rsidRPr="006E0B5A" w:rsidTr="006E0B5A">
        <w:tc>
          <w:tcPr>
            <w:tcW w:w="2268" w:type="dxa"/>
            <w:vMerge w:val="restart"/>
            <w:vAlign w:val="center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3402" w:type="dxa"/>
            <w:gridSpan w:val="6"/>
            <w:vMerge w:val="restart"/>
            <w:vAlign w:val="center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обращений в суды на действия (бездействие) органа местного самоуправления</w:t>
            </w:r>
          </w:p>
        </w:tc>
        <w:tc>
          <w:tcPr>
            <w:tcW w:w="10300" w:type="dxa"/>
            <w:gridSpan w:val="18"/>
            <w:vAlign w:val="center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судами исковые требования:</w:t>
            </w:r>
          </w:p>
        </w:tc>
      </w:tr>
      <w:tr w:rsidR="00460816" w:rsidRPr="006E0B5A" w:rsidTr="006E0B5A">
        <w:tc>
          <w:tcPr>
            <w:tcW w:w="2268" w:type="dxa"/>
            <w:vMerge/>
          </w:tcPr>
          <w:p w:rsidR="00460816" w:rsidRPr="006E0B5A" w:rsidRDefault="00460816" w:rsidP="00460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60816" w:rsidRPr="006E0B5A" w:rsidRDefault="00460816" w:rsidP="00460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6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удовлетворены частично</w:t>
            </w:r>
          </w:p>
        </w:tc>
        <w:tc>
          <w:tcPr>
            <w:tcW w:w="3402" w:type="dxa"/>
            <w:gridSpan w:val="6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удовлетворены полностью</w:t>
            </w:r>
          </w:p>
        </w:tc>
        <w:tc>
          <w:tcPr>
            <w:tcW w:w="3496" w:type="dxa"/>
            <w:gridSpan w:val="6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удовлетворении</w:t>
            </w:r>
          </w:p>
        </w:tc>
      </w:tr>
      <w:tr w:rsidR="00460816" w:rsidRPr="006E0B5A" w:rsidTr="006E0B5A">
        <w:tc>
          <w:tcPr>
            <w:tcW w:w="2268" w:type="dxa"/>
            <w:vMerge/>
          </w:tcPr>
          <w:p w:rsidR="00460816" w:rsidRPr="006E0B5A" w:rsidRDefault="00460816" w:rsidP="00460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- 2</w:t>
            </w:r>
          </w:p>
        </w:tc>
        <w:tc>
          <w:tcPr>
            <w:tcW w:w="1134" w:type="dxa"/>
            <w:gridSpan w:val="2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- 1</w:t>
            </w:r>
          </w:p>
        </w:tc>
        <w:tc>
          <w:tcPr>
            <w:tcW w:w="1134" w:type="dxa"/>
            <w:gridSpan w:val="2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134" w:type="dxa"/>
            <w:gridSpan w:val="2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- 2</w:t>
            </w:r>
          </w:p>
        </w:tc>
        <w:tc>
          <w:tcPr>
            <w:tcW w:w="1134" w:type="dxa"/>
            <w:gridSpan w:val="2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- 1</w:t>
            </w:r>
          </w:p>
        </w:tc>
        <w:tc>
          <w:tcPr>
            <w:tcW w:w="1134" w:type="dxa"/>
            <w:gridSpan w:val="2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134" w:type="dxa"/>
            <w:gridSpan w:val="2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- 2</w:t>
            </w:r>
          </w:p>
        </w:tc>
        <w:tc>
          <w:tcPr>
            <w:tcW w:w="1134" w:type="dxa"/>
            <w:gridSpan w:val="2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- 1</w:t>
            </w:r>
          </w:p>
        </w:tc>
        <w:tc>
          <w:tcPr>
            <w:tcW w:w="1134" w:type="dxa"/>
            <w:gridSpan w:val="2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134" w:type="dxa"/>
            <w:gridSpan w:val="2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- 2</w:t>
            </w:r>
          </w:p>
        </w:tc>
        <w:tc>
          <w:tcPr>
            <w:tcW w:w="1134" w:type="dxa"/>
            <w:gridSpan w:val="2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- 1</w:t>
            </w:r>
          </w:p>
        </w:tc>
        <w:tc>
          <w:tcPr>
            <w:tcW w:w="1228" w:type="dxa"/>
            <w:gridSpan w:val="2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</w:tr>
      <w:tr w:rsidR="006E0B5A" w:rsidRPr="006E0B5A" w:rsidTr="006E0B5A">
        <w:tc>
          <w:tcPr>
            <w:tcW w:w="2268" w:type="dxa"/>
            <w:vMerge/>
          </w:tcPr>
          <w:p w:rsidR="00460816" w:rsidRPr="006E0B5A" w:rsidRDefault="00460816" w:rsidP="00460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</w:t>
            </w:r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</w:t>
            </w:r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</w:t>
            </w:r>
            <w:proofErr w:type="spellEnd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629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</w:t>
            </w:r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99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</w:tr>
      <w:tr w:rsidR="00E060C0" w:rsidRPr="006E0B5A" w:rsidTr="006E0B5A">
        <w:tc>
          <w:tcPr>
            <w:tcW w:w="2268" w:type="dxa"/>
          </w:tcPr>
          <w:p w:rsidR="00E060C0" w:rsidRPr="006E0B5A" w:rsidRDefault="00E060C0" w:rsidP="004608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направлениям: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060C0" w:rsidRPr="006E0B5A" w:rsidTr="006E0B5A">
        <w:tc>
          <w:tcPr>
            <w:tcW w:w="2268" w:type="dxa"/>
          </w:tcPr>
          <w:p w:rsidR="00E060C0" w:rsidRPr="006E0B5A" w:rsidRDefault="00E060C0" w:rsidP="006E0B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малое предпринимательство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60C0" w:rsidRPr="006E0B5A" w:rsidTr="006E0B5A">
        <w:tc>
          <w:tcPr>
            <w:tcW w:w="2268" w:type="dxa"/>
          </w:tcPr>
          <w:p w:rsidR="00E060C0" w:rsidRPr="006E0B5A" w:rsidRDefault="00E060C0" w:rsidP="004608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жилищно-коммунальный комплекс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60C0" w:rsidRPr="006E0B5A" w:rsidTr="006E0B5A">
        <w:tc>
          <w:tcPr>
            <w:tcW w:w="2268" w:type="dxa"/>
          </w:tcPr>
          <w:p w:rsidR="00E060C0" w:rsidRPr="006E0B5A" w:rsidRDefault="00E060C0" w:rsidP="006E0B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060C0" w:rsidRPr="006E0B5A" w:rsidTr="006E0B5A">
        <w:tc>
          <w:tcPr>
            <w:tcW w:w="2268" w:type="dxa"/>
          </w:tcPr>
          <w:p w:rsidR="00E060C0" w:rsidRPr="006E0B5A" w:rsidRDefault="00E060C0" w:rsidP="004608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60C0" w:rsidRPr="006E0B5A" w:rsidTr="006E0B5A">
        <w:tc>
          <w:tcPr>
            <w:tcW w:w="2268" w:type="dxa"/>
          </w:tcPr>
          <w:p w:rsidR="00E060C0" w:rsidRPr="006E0B5A" w:rsidRDefault="00E060C0" w:rsidP="004608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60C0" w:rsidRPr="006E0B5A" w:rsidTr="006E0B5A">
        <w:tc>
          <w:tcPr>
            <w:tcW w:w="2268" w:type="dxa"/>
          </w:tcPr>
          <w:p w:rsidR="00E060C0" w:rsidRPr="006E0B5A" w:rsidRDefault="00E060C0" w:rsidP="004608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земельные отношения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060C0" w:rsidRPr="006E0B5A" w:rsidTr="006E0B5A">
        <w:tc>
          <w:tcPr>
            <w:tcW w:w="2268" w:type="dxa"/>
          </w:tcPr>
          <w:p w:rsidR="00E060C0" w:rsidRPr="006E0B5A" w:rsidRDefault="00E060C0" w:rsidP="004608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благоустройства территории города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60C0" w:rsidRPr="006E0B5A" w:rsidTr="006E0B5A">
        <w:tc>
          <w:tcPr>
            <w:tcW w:w="2268" w:type="dxa"/>
          </w:tcPr>
          <w:p w:rsidR="00E060C0" w:rsidRPr="006E0B5A" w:rsidRDefault="00E060C0" w:rsidP="004608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60816" w:rsidRDefault="00460816" w:rsidP="004E32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0B5A" w:rsidRDefault="006E0B5A" w:rsidP="004E32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0B5A" w:rsidRDefault="006E0B5A" w:rsidP="004E32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30F" w:rsidRDefault="00CD330F" w:rsidP="006E0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CD330F" w:rsidSect="006E0B5A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6E0B5A" w:rsidRPr="00941EF4" w:rsidRDefault="006E0B5A" w:rsidP="006E0B5A">
      <w:pPr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41E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1.10. Состояние платежной дисциплины и инвестиционной политики в жилищно-коммунальном комплексе</w:t>
      </w:r>
    </w:p>
    <w:p w:rsidR="00AF658A" w:rsidRDefault="00AF658A" w:rsidP="00207D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658A" w:rsidRPr="00AF658A" w:rsidRDefault="00AF658A" w:rsidP="00E52F41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58A">
        <w:rPr>
          <w:rFonts w:ascii="Times New Roman" w:eastAsia="Calibri" w:hAnsi="Times New Roman" w:cs="Times New Roman"/>
          <w:sz w:val="28"/>
          <w:szCs w:val="28"/>
        </w:rPr>
        <w:t>Программа капитального ремонта общего имущества в многоквартирных домах, расположенных на территории Ханты-Мансийского автономного округа – Югры, утверждена постановлением Правительства Ханты-Мансийского</w:t>
      </w:r>
      <w:r w:rsidR="00E52F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658A">
        <w:rPr>
          <w:rFonts w:ascii="Times New Roman" w:eastAsia="Calibri" w:hAnsi="Times New Roman" w:cs="Times New Roman"/>
          <w:sz w:val="28"/>
          <w:szCs w:val="28"/>
        </w:rPr>
        <w:t>автономного округа – Югры от 25.12.2013 №568-п.</w:t>
      </w:r>
    </w:p>
    <w:p w:rsidR="00AF658A" w:rsidRPr="00AF658A" w:rsidRDefault="00AF658A" w:rsidP="00E52F41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58A">
        <w:rPr>
          <w:rFonts w:ascii="Times New Roman" w:eastAsia="Calibri" w:hAnsi="Times New Roman" w:cs="Times New Roman"/>
          <w:sz w:val="28"/>
          <w:szCs w:val="28"/>
        </w:rPr>
        <w:t xml:space="preserve">Обязанность собственников по оплате </w:t>
      </w:r>
      <w:r w:rsidR="00C465F4">
        <w:rPr>
          <w:rFonts w:ascii="Times New Roman" w:eastAsia="Calibri" w:hAnsi="Times New Roman" w:cs="Times New Roman"/>
          <w:sz w:val="28"/>
          <w:szCs w:val="28"/>
        </w:rPr>
        <w:t xml:space="preserve">минимальных </w:t>
      </w:r>
      <w:r w:rsidRPr="00AF658A">
        <w:rPr>
          <w:rFonts w:ascii="Times New Roman" w:eastAsia="Calibri" w:hAnsi="Times New Roman" w:cs="Times New Roman"/>
          <w:sz w:val="28"/>
          <w:szCs w:val="28"/>
        </w:rPr>
        <w:t xml:space="preserve">взносов возникла с сентября 2014 года. Уровень собираемости взносов по г. Ханты-Мансийску выше среднего уровня собираемости по Округу. </w:t>
      </w:r>
    </w:p>
    <w:p w:rsidR="00AF658A" w:rsidRPr="00A20CAA" w:rsidRDefault="00AF658A" w:rsidP="00E52F41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658A">
        <w:rPr>
          <w:rFonts w:ascii="Times New Roman" w:eastAsia="Calibri" w:hAnsi="Times New Roman" w:cs="Times New Roman"/>
          <w:sz w:val="28"/>
          <w:szCs w:val="28"/>
          <w:lang w:eastAsia="ru-RU"/>
        </w:rPr>
        <w:t>Собираемость обязательных взносов на капитальный ремонт по итогам 201</w:t>
      </w:r>
      <w:r w:rsidRPr="00AF658A">
        <w:rPr>
          <w:rFonts w:ascii="Times New Roman" w:eastAsia="Calibri" w:hAnsi="Times New Roman" w:cs="Times New Roman"/>
          <w:color w:val="1F497D"/>
          <w:sz w:val="28"/>
          <w:szCs w:val="28"/>
          <w:lang w:eastAsia="ru-RU"/>
        </w:rPr>
        <w:t>9</w:t>
      </w:r>
      <w:r w:rsidRPr="00AF6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A20CAA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составила 91,14 % (в 2018 году</w:t>
      </w:r>
      <w:r w:rsidR="006369D8" w:rsidRPr="0076687B">
        <w:rPr>
          <w:rFonts w:ascii="Times New Roman" w:eastAsia="Calibri" w:hAnsi="Times New Roman" w:cs="Times New Roman"/>
          <w:sz w:val="28"/>
          <w:szCs w:val="28"/>
        </w:rPr>
        <w:t>–</w:t>
      </w:r>
      <w:r w:rsidRPr="00A20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71,78 %). Собираемость взносов с 01.09.2014 по 01.03.2020 состав</w:t>
      </w:r>
      <w:r w:rsidR="00EE7E43">
        <w:rPr>
          <w:rFonts w:ascii="Times New Roman" w:eastAsia="Calibri" w:hAnsi="Times New Roman" w:cs="Times New Roman"/>
          <w:sz w:val="28"/>
          <w:szCs w:val="28"/>
          <w:lang w:eastAsia="ru-RU"/>
        </w:rPr>
        <w:t>ила</w:t>
      </w:r>
      <w:r w:rsidRPr="00A20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79,66 %. Наличие муниципальных инвестиционных программ отражено в таблице 3.</w:t>
      </w:r>
    </w:p>
    <w:p w:rsidR="00941EF4" w:rsidRPr="00941EF4" w:rsidRDefault="00941EF4" w:rsidP="00E52F41">
      <w:pPr>
        <w:pStyle w:val="msonormalmailrucssattributepostfix"/>
        <w:spacing w:before="0" w:beforeAutospacing="0" w:after="0" w:afterAutospacing="0" w:line="276" w:lineRule="auto"/>
        <w:ind w:right="-2" w:firstLine="709"/>
        <w:jc w:val="both"/>
        <w:rPr>
          <w:sz w:val="28"/>
          <w:szCs w:val="28"/>
        </w:rPr>
      </w:pPr>
      <w:r w:rsidRPr="00941EF4">
        <w:rPr>
          <w:sz w:val="28"/>
          <w:szCs w:val="28"/>
        </w:rPr>
        <w:t>На территории города Ханты-Мансийска действуют следующие инвестиционные программы в сфере жилищно-коммунального комплекса:</w:t>
      </w:r>
    </w:p>
    <w:p w:rsidR="00941EF4" w:rsidRPr="00941EF4" w:rsidRDefault="00941EF4" w:rsidP="00E52F41">
      <w:pPr>
        <w:pStyle w:val="msonormalmailrucssattributepostfix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ind w:left="0" w:right="-2" w:firstLine="709"/>
        <w:jc w:val="both"/>
      </w:pPr>
      <w:r w:rsidRPr="00941EF4">
        <w:rPr>
          <w:sz w:val="28"/>
          <w:szCs w:val="28"/>
        </w:rPr>
        <w:t>инвестиционная программа МП «Городские электрические сети» разработана и утверждена приказом Департамента жилищно</w:t>
      </w:r>
      <w:r w:rsidR="006369D8">
        <w:rPr>
          <w:sz w:val="28"/>
          <w:szCs w:val="28"/>
        </w:rPr>
        <w:t>-</w:t>
      </w:r>
      <w:r w:rsidRPr="00941EF4">
        <w:rPr>
          <w:sz w:val="28"/>
          <w:szCs w:val="28"/>
        </w:rPr>
        <w:t xml:space="preserve">коммунального комплекса и энергетики Ханты-Мансийского автономного округа </w:t>
      </w:r>
      <w:r w:rsidR="006369D8" w:rsidRPr="0076687B">
        <w:rPr>
          <w:sz w:val="28"/>
          <w:szCs w:val="28"/>
        </w:rPr>
        <w:t>–</w:t>
      </w:r>
      <w:r w:rsidRPr="00941EF4">
        <w:rPr>
          <w:sz w:val="28"/>
          <w:szCs w:val="28"/>
        </w:rPr>
        <w:t xml:space="preserve"> Югры от 11.09.2017№ 145</w:t>
      </w:r>
      <w:r w:rsidR="00F97D2B">
        <w:rPr>
          <w:sz w:val="28"/>
          <w:szCs w:val="28"/>
        </w:rPr>
        <w:t>-</w:t>
      </w:r>
      <w:r w:rsidRPr="00941EF4">
        <w:rPr>
          <w:sz w:val="28"/>
          <w:szCs w:val="28"/>
        </w:rPr>
        <w:t>П «О внесении изменений в приказ Департамента жилищно</w:t>
      </w:r>
      <w:r w:rsidR="006369D8">
        <w:rPr>
          <w:sz w:val="28"/>
          <w:szCs w:val="28"/>
        </w:rPr>
        <w:t>-</w:t>
      </w:r>
      <w:r w:rsidRPr="00941EF4">
        <w:rPr>
          <w:sz w:val="28"/>
          <w:szCs w:val="28"/>
        </w:rPr>
        <w:t>коммунального комплекса и энергетики Ханты-Мансийского автономного округа – Югры от 19.09.2016 «Об утверждении скорректированной инвестиционной программы муниципального предприятия «Городские электрические сети» г. Ханты-Мансийск на 2015</w:t>
      </w:r>
      <w:r w:rsidR="00F97D2B">
        <w:rPr>
          <w:sz w:val="28"/>
          <w:szCs w:val="28"/>
        </w:rPr>
        <w:t>-</w:t>
      </w:r>
      <w:r w:rsidRPr="00941EF4">
        <w:rPr>
          <w:sz w:val="28"/>
          <w:szCs w:val="28"/>
        </w:rPr>
        <w:t>2019 годы»;</w:t>
      </w:r>
    </w:p>
    <w:p w:rsidR="00941EF4" w:rsidRPr="00941EF4" w:rsidRDefault="00941EF4" w:rsidP="00E52F41">
      <w:pPr>
        <w:pStyle w:val="msonormalmailrucssattributepostfix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ind w:left="0" w:right="-2" w:firstLine="709"/>
        <w:jc w:val="both"/>
      </w:pPr>
      <w:r w:rsidRPr="00941EF4">
        <w:rPr>
          <w:sz w:val="28"/>
          <w:szCs w:val="28"/>
        </w:rPr>
        <w:t>инвестиционная программа АО «Управления теплоснабжения и инженерных сетей» внесены изменения (приказ Департамента жилищно</w:t>
      </w:r>
      <w:r w:rsidR="006369D8">
        <w:rPr>
          <w:sz w:val="28"/>
          <w:szCs w:val="28"/>
        </w:rPr>
        <w:t>-</w:t>
      </w:r>
      <w:r w:rsidRPr="00941EF4">
        <w:rPr>
          <w:sz w:val="28"/>
          <w:szCs w:val="28"/>
        </w:rPr>
        <w:t xml:space="preserve">коммунального комплекса и энергетики Ханты-Мансийского автономного округа – Югры от 30.11.2017 №193-П).    </w:t>
      </w:r>
    </w:p>
    <w:p w:rsidR="00941EF4" w:rsidRPr="00941EF4" w:rsidRDefault="00941EF4" w:rsidP="00E52F41">
      <w:pPr>
        <w:pStyle w:val="msonormalmailrucssattributepostfix"/>
        <w:spacing w:before="0" w:beforeAutospacing="0" w:after="0" w:afterAutospacing="0" w:line="276" w:lineRule="auto"/>
        <w:ind w:right="-2" w:firstLine="709"/>
        <w:jc w:val="both"/>
      </w:pPr>
      <w:r w:rsidRPr="00941EF4">
        <w:rPr>
          <w:sz w:val="28"/>
          <w:szCs w:val="28"/>
        </w:rPr>
        <w:t xml:space="preserve">Разработана инвестиционная программа муниципального </w:t>
      </w:r>
      <w:proofErr w:type="spellStart"/>
      <w:r w:rsidRPr="00941EF4">
        <w:rPr>
          <w:sz w:val="28"/>
          <w:szCs w:val="28"/>
        </w:rPr>
        <w:t>водоканализационного</w:t>
      </w:r>
      <w:proofErr w:type="spellEnd"/>
      <w:r w:rsidRPr="00941EF4">
        <w:rPr>
          <w:sz w:val="28"/>
          <w:szCs w:val="28"/>
        </w:rPr>
        <w:t xml:space="preserve"> предприятия МП «Водоканал» по развитию систем коммунальной инфраструктуры в части водоснабжения и водоотведения муниципального образования город</w:t>
      </w:r>
      <w:r w:rsidR="00E52F41">
        <w:rPr>
          <w:sz w:val="28"/>
          <w:szCs w:val="28"/>
        </w:rPr>
        <w:t xml:space="preserve"> </w:t>
      </w:r>
      <w:r w:rsidRPr="00941EF4">
        <w:rPr>
          <w:sz w:val="28"/>
          <w:szCs w:val="28"/>
        </w:rPr>
        <w:t>Ханты-Мансийск на период 2021-2023 гг.».</w:t>
      </w:r>
    </w:p>
    <w:p w:rsidR="00B5785B" w:rsidRDefault="00B5785B" w:rsidP="00E52F41">
      <w:pPr>
        <w:spacing w:after="0"/>
        <w:ind w:right="565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785B" w:rsidRDefault="00B5785B" w:rsidP="00207D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785B" w:rsidRDefault="00B5785B" w:rsidP="00207D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785B" w:rsidRDefault="00B5785B" w:rsidP="00207D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785B" w:rsidRDefault="00B5785B" w:rsidP="00207D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0B5A" w:rsidRPr="002D68D2" w:rsidRDefault="006E0B5A" w:rsidP="006E0B5A">
      <w:pPr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D68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p w:rsidR="00B5785B" w:rsidRPr="002D68D2" w:rsidRDefault="00B5785B" w:rsidP="00CD330F">
      <w:pPr>
        <w:spacing w:after="0" w:line="240" w:lineRule="auto"/>
        <w:ind w:right="142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330F" w:rsidRPr="002D68D2" w:rsidRDefault="00CD330F" w:rsidP="00CD330F">
      <w:pPr>
        <w:spacing w:after="0" w:line="240" w:lineRule="auto"/>
        <w:ind w:right="142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8D2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Состояние платежной дисциплины и инвестиционной</w:t>
      </w:r>
    </w:p>
    <w:p w:rsidR="00CD330F" w:rsidRPr="002D68D2" w:rsidRDefault="00CD330F" w:rsidP="00CD330F">
      <w:pPr>
        <w:spacing w:after="0" w:line="240" w:lineRule="auto"/>
        <w:ind w:right="142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8D2">
        <w:rPr>
          <w:rFonts w:ascii="Times New Roman" w:eastAsia="Calibri" w:hAnsi="Times New Roman" w:cs="Times New Roman"/>
          <w:sz w:val="28"/>
          <w:szCs w:val="28"/>
          <w:lang w:eastAsia="ru-RU"/>
        </w:rPr>
        <w:t>политики в жилищно-коммунальном комплексе</w:t>
      </w:r>
    </w:p>
    <w:p w:rsidR="00CD330F" w:rsidRPr="002D68D2" w:rsidRDefault="00CD330F" w:rsidP="00CD330F">
      <w:pPr>
        <w:spacing w:after="0" w:line="240" w:lineRule="auto"/>
        <w:ind w:right="142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8D2">
        <w:rPr>
          <w:rFonts w:ascii="Times New Roman" w:eastAsia="Calibri" w:hAnsi="Times New Roman" w:cs="Times New Roman"/>
          <w:sz w:val="28"/>
          <w:szCs w:val="28"/>
          <w:lang w:eastAsia="ru-RU"/>
        </w:rPr>
        <w:t>____________город Ханты-Мансийск________________</w:t>
      </w:r>
    </w:p>
    <w:p w:rsidR="00CD330F" w:rsidRPr="002D68D2" w:rsidRDefault="00CD330F" w:rsidP="00CD330F">
      <w:pPr>
        <w:spacing w:after="0" w:line="240" w:lineRule="auto"/>
        <w:ind w:right="142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8D2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городского округа (муниципального района)</w:t>
      </w:r>
    </w:p>
    <w:p w:rsidR="00CD330F" w:rsidRPr="002D68D2" w:rsidRDefault="00CD330F" w:rsidP="00CD3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"/>
        <w:gridCol w:w="3264"/>
        <w:gridCol w:w="1417"/>
        <w:gridCol w:w="840"/>
        <w:gridCol w:w="861"/>
        <w:gridCol w:w="709"/>
        <w:gridCol w:w="709"/>
        <w:gridCol w:w="708"/>
        <w:gridCol w:w="709"/>
        <w:gridCol w:w="719"/>
      </w:tblGrid>
      <w:tr w:rsidR="00CD330F" w:rsidRPr="00EE3823" w:rsidTr="006369D8">
        <w:trPr>
          <w:jc w:val="center"/>
        </w:trPr>
        <w:tc>
          <w:tcPr>
            <w:tcW w:w="577" w:type="dxa"/>
          </w:tcPr>
          <w:p w:rsidR="00CD330F" w:rsidRPr="00EE3823" w:rsidRDefault="00CD330F" w:rsidP="001A5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64" w:type="dxa"/>
          </w:tcPr>
          <w:p w:rsidR="00CD330F" w:rsidRPr="00EE3823" w:rsidRDefault="00CD330F" w:rsidP="001A5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CD330F" w:rsidRPr="00EE3823" w:rsidRDefault="00CD330F" w:rsidP="001A5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40" w:type="dxa"/>
          </w:tcPr>
          <w:p w:rsidR="00CD330F" w:rsidRPr="00EE3823" w:rsidRDefault="00CD330F" w:rsidP="001A5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68D2" w:rsidRPr="00EE38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</w:tcPr>
          <w:p w:rsidR="00CD330F" w:rsidRPr="00EE3823" w:rsidRDefault="00CD330F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68D2" w:rsidRPr="00EE38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D330F" w:rsidRPr="00EE3823" w:rsidRDefault="00CD330F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68D2" w:rsidRPr="00EE3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D330F" w:rsidRPr="00EE3823" w:rsidRDefault="00CD330F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68D2" w:rsidRPr="00EE3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CD330F" w:rsidRPr="00EE3823" w:rsidRDefault="00CD330F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68D2" w:rsidRPr="00EE38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D330F" w:rsidRPr="00EE3823" w:rsidRDefault="00CD330F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68D2" w:rsidRPr="00EE38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9" w:type="dxa"/>
          </w:tcPr>
          <w:p w:rsidR="00CD330F" w:rsidRPr="00EE3823" w:rsidRDefault="00CD330F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E3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D68D2" w:rsidRPr="00EE3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30F" w:rsidRPr="00EE3823" w:rsidTr="006369D8">
        <w:trPr>
          <w:trHeight w:val="3108"/>
          <w:jc w:val="center"/>
        </w:trPr>
        <w:tc>
          <w:tcPr>
            <w:tcW w:w="577" w:type="dxa"/>
          </w:tcPr>
          <w:p w:rsidR="00CD330F" w:rsidRPr="00EE3823" w:rsidRDefault="00CD330F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4" w:type="dxa"/>
          </w:tcPr>
          <w:p w:rsidR="00CD330F" w:rsidRPr="00EE3823" w:rsidRDefault="00CD330F" w:rsidP="00636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</w:t>
            </w:r>
          </w:p>
        </w:tc>
        <w:tc>
          <w:tcPr>
            <w:tcW w:w="1417" w:type="dxa"/>
          </w:tcPr>
          <w:p w:rsidR="00CD330F" w:rsidRPr="00EE3823" w:rsidRDefault="00CD330F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40" w:type="dxa"/>
          </w:tcPr>
          <w:p w:rsidR="00CD330F" w:rsidRPr="00EE3823" w:rsidRDefault="00CD330F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CD330F" w:rsidRPr="00EE3823" w:rsidRDefault="00CD330F" w:rsidP="0063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30F" w:rsidRPr="00EE3823" w:rsidRDefault="00CD330F" w:rsidP="0063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30F" w:rsidRPr="00EE3823" w:rsidRDefault="00CD330F" w:rsidP="0063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D330F" w:rsidRPr="00EE3823" w:rsidRDefault="00CD330F" w:rsidP="0063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30F" w:rsidRPr="00EE3823" w:rsidRDefault="00CD330F" w:rsidP="0063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CD330F" w:rsidRPr="00EE3823" w:rsidRDefault="00CD330F" w:rsidP="0063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8D2" w:rsidRPr="00EE3823" w:rsidTr="006369D8">
        <w:trPr>
          <w:jc w:val="center"/>
        </w:trPr>
        <w:tc>
          <w:tcPr>
            <w:tcW w:w="577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4" w:type="dxa"/>
          </w:tcPr>
          <w:p w:rsidR="002D68D2" w:rsidRPr="00EE3823" w:rsidRDefault="002D68D2" w:rsidP="00636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собираемости взносов на капитальный ремонт общего имущества многоквартирных домов </w:t>
            </w:r>
          </w:p>
        </w:tc>
        <w:tc>
          <w:tcPr>
            <w:tcW w:w="1417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40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98,9</w:t>
            </w:r>
          </w:p>
        </w:tc>
        <w:tc>
          <w:tcPr>
            <w:tcW w:w="861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80,64</w:t>
            </w:r>
          </w:p>
        </w:tc>
        <w:tc>
          <w:tcPr>
            <w:tcW w:w="709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71,78</w:t>
            </w:r>
          </w:p>
        </w:tc>
        <w:tc>
          <w:tcPr>
            <w:tcW w:w="709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91,14</w:t>
            </w:r>
          </w:p>
        </w:tc>
        <w:tc>
          <w:tcPr>
            <w:tcW w:w="708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98,9</w:t>
            </w:r>
          </w:p>
        </w:tc>
        <w:tc>
          <w:tcPr>
            <w:tcW w:w="709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98,9</w:t>
            </w:r>
          </w:p>
        </w:tc>
        <w:tc>
          <w:tcPr>
            <w:tcW w:w="719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98,9</w:t>
            </w:r>
          </w:p>
        </w:tc>
      </w:tr>
      <w:tr w:rsidR="002D68D2" w:rsidRPr="00EE3823" w:rsidTr="006369D8">
        <w:trPr>
          <w:jc w:val="center"/>
        </w:trPr>
        <w:tc>
          <w:tcPr>
            <w:tcW w:w="577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4" w:type="dxa"/>
          </w:tcPr>
          <w:p w:rsidR="002D68D2" w:rsidRPr="00EE3823" w:rsidRDefault="002D68D2" w:rsidP="00636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муниципальных инвестиционных программ регулируемых организаций, осуществляющих деятельность в сферах водоснабжения, водоотведения, теплоснабжения </w:t>
            </w:r>
          </w:p>
        </w:tc>
        <w:tc>
          <w:tcPr>
            <w:tcW w:w="1417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в наличии/в разработке/отсутствуют</w:t>
            </w:r>
          </w:p>
        </w:tc>
        <w:tc>
          <w:tcPr>
            <w:tcW w:w="840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proofErr w:type="spellEnd"/>
          </w:p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861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proofErr w:type="spellEnd"/>
          </w:p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709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proofErr w:type="spellEnd"/>
          </w:p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709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proofErr w:type="spellEnd"/>
          </w:p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708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proofErr w:type="spellEnd"/>
          </w:p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709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proofErr w:type="spellEnd"/>
          </w:p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719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proofErr w:type="spellEnd"/>
          </w:p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</w:tr>
      <w:tr w:rsidR="002D68D2" w:rsidRPr="00EE3823" w:rsidTr="006369D8">
        <w:trPr>
          <w:jc w:val="center"/>
        </w:trPr>
        <w:tc>
          <w:tcPr>
            <w:tcW w:w="577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4" w:type="dxa"/>
          </w:tcPr>
          <w:p w:rsidR="002D68D2" w:rsidRPr="00EE3823" w:rsidRDefault="002D68D2" w:rsidP="00636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Фактический уровень собираемости платы граждан за предоставленные жилищно-коммунальные услуги за отчетный период</w:t>
            </w:r>
          </w:p>
        </w:tc>
        <w:tc>
          <w:tcPr>
            <w:tcW w:w="1417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840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97,1</w:t>
            </w:r>
          </w:p>
        </w:tc>
        <w:tc>
          <w:tcPr>
            <w:tcW w:w="861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709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709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708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709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719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97,6</w:t>
            </w:r>
          </w:p>
        </w:tc>
      </w:tr>
    </w:tbl>
    <w:p w:rsidR="00CD330F" w:rsidRDefault="00CD330F" w:rsidP="00CD3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3923" w:rsidRDefault="00D73923" w:rsidP="0052391C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lang w:eastAsia="ru-RU"/>
        </w:rPr>
      </w:pPr>
    </w:p>
    <w:p w:rsidR="00D73923" w:rsidRDefault="00D73923" w:rsidP="0052391C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lang w:eastAsia="ru-RU"/>
        </w:rPr>
      </w:pPr>
    </w:p>
    <w:p w:rsidR="00D73923" w:rsidRDefault="00D73923" w:rsidP="0052391C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lang w:eastAsia="ru-RU"/>
        </w:rPr>
      </w:pPr>
    </w:p>
    <w:p w:rsidR="0052391C" w:rsidRDefault="0052391C" w:rsidP="00CD3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391C" w:rsidRDefault="0052391C" w:rsidP="00CD3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3923" w:rsidRDefault="00D73923" w:rsidP="00D7392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  <w:sectPr w:rsidR="00D73923" w:rsidSect="00E52F4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3923" w:rsidRPr="00D73923" w:rsidRDefault="00D73923" w:rsidP="00D73923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ru-RU"/>
        </w:rPr>
      </w:pPr>
      <w:r w:rsidRPr="00D73923">
        <w:rPr>
          <w:rFonts w:ascii="Times New Roman" w:eastAsia="Calibri" w:hAnsi="Times New Roman" w:cs="Times New Roman"/>
          <w:color w:val="auto"/>
          <w:sz w:val="26"/>
          <w:szCs w:val="26"/>
          <w:lang w:eastAsia="ru-RU"/>
        </w:rPr>
        <w:lastRenderedPageBreak/>
        <w:t>Раздел 2. Показатели, характеризующие социально-экономическое развитие муниципального образования автономного округа, оценку эффективности деятельности органов местного самоуправления городских округов и муниципальных районов, за отчетный год и их планируемые значения на 3-летний период</w:t>
      </w:r>
    </w:p>
    <w:p w:rsidR="0052391C" w:rsidRPr="00D73923" w:rsidRDefault="00D73923" w:rsidP="00D739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73923">
        <w:rPr>
          <w:rFonts w:ascii="Times New Roman" w:hAnsi="Times New Roman" w:cs="Times New Roman"/>
          <w:sz w:val="28"/>
          <w:szCs w:val="28"/>
          <w:lang w:eastAsia="ru-RU"/>
        </w:rPr>
        <w:t>Таблица 4</w:t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851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2268"/>
      </w:tblGrid>
      <w:tr w:rsidR="00D73923" w:rsidRPr="00F248FB" w:rsidTr="00D73923">
        <w:trPr>
          <w:trHeight w:val="31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раздела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</w:t>
            </w:r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цы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измере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в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докла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Отчёт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D73923" w:rsidRPr="00F248FB" w:rsidTr="00D73923">
        <w:trPr>
          <w:trHeight w:val="31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D42896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D42896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D42896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D42896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D42896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33E39" w:rsidRPr="00F248FB" w:rsidTr="00A20CAA">
        <w:trPr>
          <w:trHeight w:val="6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E39" w:rsidRDefault="00E33E3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</w:t>
            </w:r>
            <w:proofErr w:type="spellEnd"/>
          </w:p>
          <w:p w:rsidR="00E33E39" w:rsidRPr="00F248FB" w:rsidRDefault="00E33E3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развитие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E39" w:rsidRPr="00F248FB" w:rsidRDefault="00E33E3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E39" w:rsidRDefault="00E33E3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E33E39" w:rsidRPr="00F248FB" w:rsidRDefault="00E33E3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E39" w:rsidRPr="00F248FB" w:rsidRDefault="00E33E3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E39" w:rsidRPr="00A20CAA" w:rsidRDefault="00E33E3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E39" w:rsidRPr="00A20CAA" w:rsidRDefault="00E33E3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E39" w:rsidRPr="00A20CAA" w:rsidRDefault="00E33E3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E39" w:rsidRPr="00A20CAA" w:rsidRDefault="00E33E3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E39" w:rsidRPr="00A20CAA" w:rsidRDefault="00E33E3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E39" w:rsidRPr="00A20CAA" w:rsidRDefault="00E33E3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E39" w:rsidRPr="00A20CAA" w:rsidRDefault="00E33E3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386,0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E39" w:rsidRPr="00A20CAA" w:rsidRDefault="00E33E39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основу показателя приняты данные ФНС России</w:t>
            </w:r>
          </w:p>
        </w:tc>
      </w:tr>
      <w:tr w:rsidR="00D42896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896" w:rsidRPr="00F248FB" w:rsidRDefault="00D4289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субъектов малого и среднего предпринимательства (на конец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96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D42896" w:rsidRPr="00F248FB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4 065,0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896" w:rsidRPr="00A20CAA" w:rsidRDefault="00D4289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 количестве СМП представлены ФНС России согласно реестра</w:t>
            </w:r>
          </w:p>
        </w:tc>
      </w:tr>
      <w:tr w:rsidR="00D42896" w:rsidRPr="00F248FB" w:rsidTr="00A20CAA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896" w:rsidRPr="00F248FB" w:rsidRDefault="00D4289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98 589,0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100 426,0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103 762,0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105 318,0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896" w:rsidRPr="00A20CAA" w:rsidRDefault="00D4289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показатель рассчитан согласно данных статистики</w:t>
            </w:r>
          </w:p>
        </w:tc>
      </w:tr>
      <w:tr w:rsidR="00D42896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896" w:rsidRPr="00F248FB" w:rsidRDefault="00D4289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96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D42896" w:rsidRPr="00F248FB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896" w:rsidRPr="00A20CAA" w:rsidRDefault="00D4289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среднесписочной численности обусловлено увеличением среднесписочной численности работников юридических лиц</w:t>
            </w:r>
          </w:p>
        </w:tc>
      </w:tr>
      <w:tr w:rsidR="00D42896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896" w:rsidRPr="00F248FB" w:rsidRDefault="00D4289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Среднесписочная численность работников (без внешних совместителей) малых и средних предприятий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896" w:rsidRPr="00A20CAA" w:rsidRDefault="00D4289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среднесписочной численности обусловлено увеличением среднесписочной численности работников юридических лиц</w:t>
            </w:r>
          </w:p>
        </w:tc>
      </w:tr>
      <w:tr w:rsidR="00D42896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896" w:rsidRPr="00F248FB" w:rsidRDefault="00D4289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Среднесписочная численность работников (без внешних совместителей) всех предприятий и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58 824,0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61 818,0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896" w:rsidRPr="00A20CAA" w:rsidRDefault="00D4289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Увеличение среднесписочной численности обусловлено увеличением числа организаций</w:t>
            </w:r>
          </w:p>
        </w:tc>
      </w:tr>
      <w:tr w:rsidR="00A228C9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90 821,0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128 147,0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178 690,0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254 928,0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267 674,0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281 058,0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295 111,0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A20CAA" w:rsidRDefault="00A228C9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рассчитан на основании данных государственной статистики</w:t>
            </w:r>
          </w:p>
        </w:tc>
      </w:tr>
      <w:tr w:rsidR="00A228C9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A20CAA" w:rsidRDefault="00A228C9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2019 год в собственность, постоянное (бессрочное) пользование предоставлено 122 земельных участка</w:t>
            </w:r>
          </w:p>
        </w:tc>
      </w:tr>
      <w:tr w:rsidR="00A228C9" w:rsidRPr="00F248FB" w:rsidTr="00A20CAA">
        <w:trPr>
          <w:trHeight w:val="27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являющихся объектами налогообложения земельным налогом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3 225,6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3 268,0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3 271,5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3 278,3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A20CAA" w:rsidRDefault="00A228C9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За 2019 год в собственность, постоянное (бессрочное) пользование предоставлено 122 земельных участка</w:t>
            </w:r>
          </w:p>
        </w:tc>
      </w:tr>
      <w:tr w:rsidR="00A228C9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территории городского округа (муниципального района), подлежащая налогообложению в соответствии с действующим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3 425,6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A20CAA" w:rsidRDefault="00A228C9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Изменение границ городского округа в текущем году не осуществлялось</w:t>
            </w:r>
          </w:p>
        </w:tc>
      </w:tr>
      <w:tr w:rsidR="00D73923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территории  муниципального образования отсутствуют сельскохозяйственные организации  </w:t>
            </w:r>
          </w:p>
        </w:tc>
      </w:tr>
      <w:tr w:rsidR="00D73923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прибыльных единиц сельскохозяйственных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На территории  муниципального образования отсутствуют сельскохозяйственные организации  </w:t>
            </w:r>
          </w:p>
        </w:tc>
      </w:tr>
      <w:tr w:rsidR="00D73923" w:rsidRPr="00F248FB" w:rsidTr="00A20CAA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число сельскохозяйственных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территории  муниципального образования отсутствуют сельскохозяйственные организации  </w:t>
            </w:r>
          </w:p>
        </w:tc>
      </w:tr>
      <w:tr w:rsidR="00A228C9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A20CAA" w:rsidRDefault="00A228C9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доли осуществляется в рамках реализации национального проекта «Безопасные и качественные автомобильные дороги»</w:t>
            </w:r>
          </w:p>
        </w:tc>
      </w:tr>
      <w:tr w:rsidR="00A228C9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A20CAA" w:rsidRDefault="00A228C9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представлен согласно статистической формы 3-ДГ (МО). Увеличение выявлено при проведении инструментальной диагностики.</w:t>
            </w:r>
          </w:p>
        </w:tc>
      </w:tr>
      <w:tr w:rsidR="00A228C9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166,90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A20CAA" w:rsidRDefault="00A228C9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представлен согласно статистической формы 3-ДГ (МО)</w:t>
            </w:r>
          </w:p>
        </w:tc>
      </w:tr>
      <w:tr w:rsidR="00D73923" w:rsidRPr="00F248FB" w:rsidTr="00A20CAA">
        <w:trPr>
          <w:trHeight w:val="18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территории  муниципального образования отсутствуют населенные пункты  </w:t>
            </w:r>
          </w:p>
        </w:tc>
      </w:tr>
      <w:tr w:rsidR="00D73923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На территории  муниципального образования отсутствуют населенные пункты  </w:t>
            </w:r>
          </w:p>
        </w:tc>
      </w:tr>
      <w:tr w:rsidR="00D73923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вестные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532C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69 294,1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72 067,5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78 044,2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84 653,0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87 192,6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92 502,6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значении показателя представлены органами государственной статистики</w:t>
            </w:r>
          </w:p>
        </w:tc>
      </w:tr>
      <w:tr w:rsidR="008532C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42 403,6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42 449,2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45 808,4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50 804,6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52 836,8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52 836,8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52 836,8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значении показателя представлены органами государственной статистики</w:t>
            </w:r>
          </w:p>
        </w:tc>
      </w:tr>
      <w:tr w:rsidR="008532C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58 025,2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61 008,4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63 983,5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66 033,0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68 674,3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68 674,3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68 674,3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значении показателя представлены органами государственной статистики</w:t>
            </w:r>
          </w:p>
        </w:tc>
      </w:tr>
      <w:tr w:rsidR="008532C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60 875,0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61 411,6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65 691,9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66 000,7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71 559,2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71 559,2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71 559,2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значения показателя обусловлено выполнением Указа Президента РФ от 07.05.2012 №597</w:t>
            </w:r>
          </w:p>
        </w:tc>
      </w:tr>
      <w:tr w:rsidR="008532C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начисленной заработной платы учителей общеобразовательных учреждений, начисленная из бюджетных источников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439 834,3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455 133,6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501 597,1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504 272,1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значения показателя обусловлено исполнением Указа Президента РФ от 07.05.2012 №597</w:t>
            </w:r>
          </w:p>
        </w:tc>
      </w:tr>
      <w:tr w:rsidR="008532C5" w:rsidRPr="00F248FB" w:rsidTr="00A20CAA">
        <w:trPr>
          <w:trHeight w:val="83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учителей общеобразовательных учреждений (городская и сельская местность)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сохранен на уровне 2018 года</w:t>
            </w:r>
          </w:p>
        </w:tc>
      </w:tr>
      <w:tr w:rsidR="008532C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50 662,9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62 071,0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68 509,3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71 890,3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73 973,9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73 973,9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74 193,1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 представлено органами государственной статистики</w:t>
            </w:r>
          </w:p>
        </w:tc>
      </w:tr>
      <w:tr w:rsidR="008532C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39 367,8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39 775,9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46 577,4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49 292,5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49 792,5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50 292,5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50 792,5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 представлено органами государственной статистики.</w:t>
            </w:r>
          </w:p>
        </w:tc>
      </w:tr>
      <w:tr w:rsidR="008532C5" w:rsidRPr="00F248FB" w:rsidTr="00A20CAA">
        <w:trPr>
          <w:trHeight w:val="1739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</w:t>
            </w:r>
            <w:proofErr w:type="spellEnd"/>
          </w:p>
          <w:p w:rsidR="008532C5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</w:t>
            </w:r>
            <w:proofErr w:type="spellEnd"/>
          </w:p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показателя в сравнении с 2018 годом обусловлено снижением общего </w:t>
            </w:r>
            <w:proofErr w:type="spellStart"/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количестао</w:t>
            </w:r>
            <w:proofErr w:type="spellEnd"/>
            <w:r w:rsidRPr="00A20CAA">
              <w:rPr>
                <w:rFonts w:ascii="Times New Roman" w:hAnsi="Times New Roman" w:cs="Times New Roman"/>
                <w:sz w:val="18"/>
                <w:szCs w:val="18"/>
              </w:rPr>
              <w:t xml:space="preserve"> детей в возрасте 1-6 лет, отраженным в официальной статистике Росстата.</w:t>
            </w:r>
          </w:p>
        </w:tc>
      </w:tr>
      <w:tr w:rsidR="008532C5" w:rsidRPr="00F248FB" w:rsidTr="00A20CAA">
        <w:trPr>
          <w:trHeight w:val="241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детей в возрасте 1 - 6 лет, получающих дошкольную образовательную услугу и (или) услугу по их содержанию в муниципальных 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7 775,0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7 299,0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6 195,0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Уменьшение количества детей в возрасте 1-6 лет, в сравнении с 2018 годом выражено снижением общего количество детей в возрасте 1-6 лет, что подтверждается официальными данными Росстата по демографии на конец 2019 года</w:t>
            </w:r>
          </w:p>
        </w:tc>
      </w:tr>
      <w:tr w:rsidR="008532C5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численность детей в возрасте 1-6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9 412,0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9 842,0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9 933,0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9 765,0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8 718,0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значении показателя представлены органами государственной статистики</w:t>
            </w:r>
          </w:p>
        </w:tc>
      </w:tr>
      <w:tr w:rsidR="008532C5" w:rsidRPr="00F248FB" w:rsidTr="00A20CAA">
        <w:trPr>
          <w:trHeight w:val="147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Уменьшение доли детей </w:t>
            </w:r>
            <w:r w:rsidR="00790116"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обусловлено дополнительным комплектованием</w:t>
            </w: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дошкольных образовательных организаций.</w:t>
            </w:r>
          </w:p>
        </w:tc>
      </w:tr>
      <w:tr w:rsidR="008532C5" w:rsidRPr="00F248FB" w:rsidTr="00A20CAA">
        <w:trPr>
          <w:trHeight w:val="83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детей в возрасте 1-6 лет, состоящих на учете для определения в муниципальные дошкольные образовательные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1 224,0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1 260,0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1 236,0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1 048,0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945,0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численности детей достигнут</w:t>
            </w:r>
            <w:r w:rsidR="00790116"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счет дополнительного комплектования дошкольных образовательных организаций по мере </w:t>
            </w: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</w:t>
            </w:r>
            <w:r w:rsidR="00790116"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свобождения мест в ДОУ в течение</w:t>
            </w: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текущего года</w:t>
            </w:r>
          </w:p>
        </w:tc>
      </w:tr>
      <w:tr w:rsidR="00790116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790116" w:rsidRPr="00F248FB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A20CAA" w:rsidRDefault="0079011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муниципальные дошкольные образовательные учреждения,  здания которых находятся в аварийном состоянии или требуют капитального ремонта</w:t>
            </w:r>
          </w:p>
        </w:tc>
      </w:tr>
      <w:tr w:rsidR="00790116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муниципальных дошкольных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790116" w:rsidRPr="00F248FB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A20CAA" w:rsidRDefault="0079011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2020 году осуществлена реорганизация учреждений по форме объединения.</w:t>
            </w:r>
          </w:p>
        </w:tc>
      </w:tr>
      <w:tr w:rsidR="00790116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муниципальных дошкольных 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790116" w:rsidRPr="00F248FB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A20CAA" w:rsidRDefault="0079011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Отсутствуют муниципальные дошкольные образовательные учреждения,  здания которых находятся в аварийном состоянии или требуют капитального ремонта</w:t>
            </w:r>
          </w:p>
        </w:tc>
      </w:tr>
      <w:tr w:rsidR="00790116" w:rsidRPr="00F248FB" w:rsidTr="00A20CAA">
        <w:trPr>
          <w:trHeight w:val="12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и дополни</w:t>
            </w:r>
          </w:p>
          <w:p w:rsidR="00790116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тельное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</w:t>
            </w:r>
            <w:proofErr w:type="spellEnd"/>
          </w:p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790116" w:rsidRPr="00F248FB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A20CAA" w:rsidRDefault="0079011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Выпускникам 11 классов за уровень среднего общего образования предоставлена возможность трижды сдать экзамен по математике, но выполнить стандарт они не смогли. </w:t>
            </w:r>
          </w:p>
        </w:tc>
      </w:tr>
      <w:tr w:rsidR="00790116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выпускников муниципальных общеобразовательных учреждений, не получивших аттестат о среднем (полном)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A20CAA" w:rsidRDefault="0079011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Выпускникам 11 классов за уровень среднего общего образования предоставлена возможность трижды сдать экзамен по математике, но выполнить стандарт они не смогли.</w:t>
            </w:r>
          </w:p>
        </w:tc>
      </w:tr>
      <w:tr w:rsidR="00790116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выпускников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A20CAA" w:rsidRDefault="0079011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Увеличение обусловлено несколькими причинами: повышение рождаемости, а также миграционные процессы.</w:t>
            </w:r>
          </w:p>
        </w:tc>
      </w:tr>
      <w:tr w:rsidR="00D73923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EF6936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F6936"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общеобразовательные учреждения, соответствуют современным требованиям.</w:t>
            </w:r>
          </w:p>
        </w:tc>
      </w:tr>
      <w:tr w:rsidR="00D73923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F6936"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Здания общеобразовательных учреждений  не находятся в аварийном состоянии и не требуют капитального ремонта</w:t>
            </w:r>
          </w:p>
        </w:tc>
      </w:tr>
      <w:tr w:rsidR="00D73923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государственных (муниципальных) образовательных учреждений, реализующих программы общего образования, находящихся в аварийном состоянии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F6936"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Здания общеобразовательных учреждений  не находятся в аварийном состоянии и не требуют капитального ремонта</w:t>
            </w:r>
          </w:p>
        </w:tc>
      </w:tr>
      <w:tr w:rsidR="00D73923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государственных (муниципальных) образовательных учреждений, реализующих программы общего образования, здания которых требуют капитального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F6936"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Здания общеобразовательных учреждений  не находятся в аварийном состоянии и не требуют капитального ремонта</w:t>
            </w:r>
          </w:p>
        </w:tc>
      </w:tr>
      <w:tr w:rsidR="00EF6936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государственных (муниципальных) общеобразовательных учреждений,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A20CAA" w:rsidRDefault="00EF6936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2018 года</w:t>
            </w:r>
          </w:p>
        </w:tc>
      </w:tr>
      <w:tr w:rsidR="00EF6936" w:rsidRPr="00F248FB" w:rsidTr="00A20CAA">
        <w:trPr>
          <w:trHeight w:val="97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детей первой и второй групп здоровья в общей </w:t>
            </w:r>
            <w:proofErr w:type="gram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численности</w:t>
            </w:r>
            <w:proofErr w:type="gram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A20CAA" w:rsidRDefault="00EF693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Данный показатель исключен из муниципальной программы "Развитие образования в городе Ханты-Мансийске" в связи с тем, что согласно Распоряжению Правительства Ханты-Мансийского автономного округа – Югры от 15.03.2013 № 92-рп «Об оценке эффективности деятельности органов местного самоуправления городских округов и муниципальных районов Ханты Мансийского автономного округа-Югры» ответственным за </w:t>
            </w: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достижение показателя является Департамент здравоохранения ХМАО - Югры.</w:t>
            </w:r>
          </w:p>
        </w:tc>
      </w:tr>
      <w:tr w:rsidR="00D73923" w:rsidRPr="00F248FB" w:rsidTr="00F10984">
        <w:trPr>
          <w:trHeight w:val="18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численности</w:t>
            </w:r>
            <w:proofErr w:type="gram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3923" w:rsidRPr="00A20CAA" w:rsidRDefault="00F10984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3923" w:rsidRPr="00A20CAA" w:rsidRDefault="00F10984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3923" w:rsidRPr="00A20CAA" w:rsidRDefault="00F1098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3923" w:rsidRPr="00A20CAA" w:rsidRDefault="00F1098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3923" w:rsidRPr="00A20CAA" w:rsidRDefault="00F1098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3923" w:rsidRPr="00A20CAA" w:rsidRDefault="00F1098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3923" w:rsidRPr="00A20CAA" w:rsidRDefault="00F1098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Увеличилось количество обучающихся во вторую смену на 2,5 %, , в связи с увеличением количества учащихся, которые должны обучаться по нормам СанПиН 2.4.2.2821-10  только в первую смену (1, 5, 9, 11 классы)</w:t>
            </w:r>
          </w:p>
        </w:tc>
      </w:tr>
      <w:tr w:rsidR="00EF6936" w:rsidRPr="00F248FB" w:rsidTr="00A20CAA">
        <w:trPr>
          <w:trHeight w:val="202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обучающихся, занимающихся во вторую смену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6 014,0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6 433,0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6 260,0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2 860,0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3 230,0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A20CAA" w:rsidRDefault="00EF6936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Увеличилось количество обучающихся во вторую смену на 0,8 %,  в связи с увеличением на 274 учащихся, которые должны обучаться по нормам СанПиН 2.4.2.2821-10  только в первую смену (1, 5, 9, 11 классы).</w:t>
            </w:r>
          </w:p>
        </w:tc>
      </w:tr>
      <w:tr w:rsidR="00EF6936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обучающихся, занимающихся в третью смену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A20CAA" w:rsidRDefault="00EF6936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Отсутствует третья смена</w:t>
            </w:r>
          </w:p>
        </w:tc>
      </w:tr>
      <w:tr w:rsidR="00EF6936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обучающихся (всего)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11 679,0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12 552,0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14 054,0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14 462,0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15 650,0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A20CAA" w:rsidRDefault="00EF6936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представлен согласно статистической формы № ОО-1 за 2019 год</w:t>
            </w:r>
          </w:p>
        </w:tc>
      </w:tr>
      <w:tr w:rsidR="00EF6936" w:rsidRPr="00F248FB" w:rsidTr="00C73B87">
        <w:trPr>
          <w:trHeight w:val="179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175,1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36" w:rsidRPr="00A20CAA" w:rsidRDefault="00EF6936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 за 2019 год.</w:t>
            </w:r>
          </w:p>
        </w:tc>
      </w:tr>
      <w:tr w:rsidR="00EF6936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образования на 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1 342 175,3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1 495 346,2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1 670 356,5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2 026 299,9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3 505 969,9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2 922 827,3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2 809 414,8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36" w:rsidRPr="00A20CAA" w:rsidRDefault="00EF6936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бюджета муниципального о</w:t>
            </w:r>
            <w:r w:rsidR="00451F02"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бразования на общее образование </w:t>
            </w: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2019 год. По Решению Думы города Ханты-Мансийска 385-VI РД от 20.12.2019 (включая </w:t>
            </w: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БА по ДГА и ДГХ)</w:t>
            </w:r>
          </w:p>
        </w:tc>
      </w:tr>
      <w:tr w:rsidR="00EF6936" w:rsidRPr="00F248FB" w:rsidTr="00C73B87">
        <w:trPr>
          <w:trHeight w:val="108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обучающихся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11 307,0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12 065,0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13 033,5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13 851,9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14 524,0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15 230,0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16 041,0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36" w:rsidRPr="00A20CAA" w:rsidRDefault="00EF6936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Среднегодовая численность обучающихся за 2019 год. По пр</w:t>
            </w:r>
            <w:r w:rsidR="00451F02"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екту бюджета на 2020-2022</w:t>
            </w:r>
          </w:p>
        </w:tc>
      </w:tr>
      <w:tr w:rsidR="00EF6936" w:rsidRPr="00F248FB" w:rsidTr="00A20CAA">
        <w:trPr>
          <w:trHeight w:val="24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(с 2016 года изменен расчет показателя, согласно методики Росстата №225 от 4.04.2017г.)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A20CAA" w:rsidRDefault="00EF6936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представлен согласно статистической формы № 1-ДОП за 2019 год</w:t>
            </w:r>
          </w:p>
        </w:tc>
      </w:tr>
      <w:tr w:rsidR="00EF6936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12 851,0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11 511,0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13 608,0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14 726,0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14 890,0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15 390,0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15 880,0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A20CAA" w:rsidRDefault="00EF6936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представлен согласно статистической формы № 1-ДОП за 2019 год</w:t>
            </w:r>
          </w:p>
        </w:tc>
      </w:tr>
      <w:tr w:rsidR="00EF6936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детей в возрасте с 5 до 18 лет в городском округе (муниципальном районе)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14 671,0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15 239,0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15 627,0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16 366,0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17 094,0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17 665,0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18 222,0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A20CAA" w:rsidRDefault="00EF6936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рассчитан согласно данных органов статистики</w:t>
            </w:r>
          </w:p>
        </w:tc>
      </w:tr>
      <w:tr w:rsidR="00D73923" w:rsidRPr="00F248FB" w:rsidTr="00A20CAA">
        <w:trPr>
          <w:trHeight w:val="6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фактической обеспеченности учреждениями культуры от нормативной потребности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вестные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1F02" w:rsidRPr="00F248FB" w:rsidTr="00C73B87">
        <w:trPr>
          <w:trHeight w:val="202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фактической обеспеченности учреждениями культуры от нормативной потребности: клубами и учреждениями клубного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A20CAA" w:rsidRDefault="00451F02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Нормативы определены в соответствии с методическими рекомендациями, утвержденными распоряжением Министерства культуры Российской Федерации от 02 августа 2017 года №Р-965</w:t>
            </w:r>
          </w:p>
        </w:tc>
      </w:tr>
      <w:tr w:rsidR="00451F02" w:rsidRPr="00F248FB" w:rsidTr="00C73B87">
        <w:trPr>
          <w:trHeight w:val="111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Фактическое количество клубов и учреждений клубного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A20CAA" w:rsidRDefault="00451F02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В 2019 году осуществляли деятельность МБУ "Культурно-досуговый центр "Октябрь" и его обособленное подразделение "Клуб "Орфей". С 2020 года деятельность клуба "Орфей" прекращена</w:t>
            </w:r>
          </w:p>
        </w:tc>
      </w:tr>
      <w:tr w:rsidR="00451F02" w:rsidRPr="00F248FB" w:rsidTr="00C73B87">
        <w:trPr>
          <w:trHeight w:val="203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Требуемое количество клубов и учреждений клубного типа в соответствии с утвержденным нормативом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2 908,0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A20CAA" w:rsidRDefault="00451F02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Нормативы определены в соответствии с методическими рекомендациями, утвержденными распоряжением Министерства культуры Российской Федерации от 02 августа 2017 года №Р-965</w:t>
            </w:r>
          </w:p>
        </w:tc>
      </w:tr>
      <w:tr w:rsidR="00451F02" w:rsidRPr="00F248FB" w:rsidTr="00C73B87">
        <w:trPr>
          <w:trHeight w:val="217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фактической обеспеченности учреждениями культуры от нормативной потребности: библиотеками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A20CAA" w:rsidRDefault="00451F02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Нормативы определены в соответствии с методическими рекомендациями, утвержденными распоряжением Министерства культуры Российской Федерации от 02 августа 2017 года №Р-965</w:t>
            </w:r>
          </w:p>
        </w:tc>
      </w:tr>
      <w:tr w:rsidR="00451F02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число библиотек и библиотек-филиалов на конец отчетного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A20CAA" w:rsidRDefault="00451F02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В состав МБУ «Городская централизованная библиотечная система» входят: детская библиотека и 6 библиотек-филиалов</w:t>
            </w:r>
          </w:p>
        </w:tc>
      </w:tr>
      <w:tr w:rsidR="00451F02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отделов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внестанционарного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обслуживания (библиотечных пунктов)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A20CAA" w:rsidRDefault="00451F02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Библиотечный пункт с выдачей литературы в читальном зале «</w:t>
            </w:r>
            <w:proofErr w:type="spellStart"/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ЛИТоСФЕРА</w:t>
            </w:r>
            <w:proofErr w:type="spellEnd"/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» в парке им. Бориса Лосева (в летний период)</w:t>
            </w:r>
          </w:p>
        </w:tc>
      </w:tr>
      <w:tr w:rsidR="00451F02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учреждений культурно-досугового типа, занимающихся библиотечной деятельностью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A20CAA" w:rsidRDefault="00451F02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451F02" w:rsidRPr="00F248FB" w:rsidTr="00633C4C">
        <w:trPr>
          <w:trHeight w:val="197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Требуемое количество общедоступных библиотек в соответствии с утвержденным нормативом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A20CAA" w:rsidRDefault="00451F02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Нормативы определены в соответствии с методическими рекомендациями, утвержденными распоряжением Министерства культуры Российской Федерации от 02 августа 2017 года №Р-965</w:t>
            </w:r>
          </w:p>
        </w:tc>
      </w:tr>
      <w:tr w:rsidR="00451F02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фактической обеспеченности учреждениями культуры от нормативной потребности: парками культуры и отдыха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A20CAA" w:rsidRDefault="00451F02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451F02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Обеспеченность населения парками культуры и отдыха (на конец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A20CAA" w:rsidRDefault="00C73B87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451F02"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451F02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Нормативный показатель обеспеченности парками культуры и отдыха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A20CAA" w:rsidRDefault="00451F02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Нормативы определены в соответствии с методическими рекомендациями, утвержденными распоряжением Министерства культуры Российской Федерации от 02 августа 2017 года №Р-965</w:t>
            </w:r>
          </w:p>
        </w:tc>
      </w:tr>
      <w:tr w:rsidR="00D73923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F10984" w:rsidP="00F1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Отсутствуют</w:t>
            </w:r>
          </w:p>
        </w:tc>
      </w:tr>
      <w:tr w:rsidR="00D73923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зданий, которые находятся в аварийном состоянии или требуют капитального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F10984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F10984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Отсутствуют</w:t>
            </w:r>
          </w:p>
        </w:tc>
      </w:tr>
      <w:tr w:rsidR="00235D53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число зданий государственных и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633C4C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итогам 2019 года муниципальные учреждения культуры города Ханты-Мансийска  располагаются в 9-ти зданиях: МБУ "Культурно-досуговый центр "Октябрь"-2 здания (ул</w:t>
            </w:r>
            <w:proofErr w:type="gramStart"/>
            <w:r w:rsidRPr="00633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633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зержинского,7 и ул. Кооперативная,43), МБУ "Городская </w:t>
            </w:r>
            <w:r w:rsidRPr="00633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централизованная библиотечная система" - 7 зданий (ул. Краснопартизанская,2, ул. Березовская,35, ул. Свободы,61, ул.Доронина,8, ул. Осенняя,1, ул. Рознина,16, ул.Шевченко-36-а)</w:t>
            </w:r>
          </w:p>
        </w:tc>
      </w:tr>
      <w:tr w:rsidR="00D73923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Отсутствуют</w:t>
            </w:r>
          </w:p>
        </w:tc>
      </w:tr>
      <w:tr w:rsidR="00D73923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культурного наследия, находящихся в муниципальной собственности и требующих консервации или реставрации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Отсутствуют</w:t>
            </w:r>
          </w:p>
        </w:tc>
      </w:tr>
      <w:tr w:rsidR="00235D53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культурного наследия, находящихся в муниципальной собственности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территории города Ханты-Мансийска расположено здание первой электростанции (ул. Дзержинского, д. 21)</w:t>
            </w:r>
          </w:p>
        </w:tc>
      </w:tr>
      <w:tr w:rsidR="00235D53" w:rsidRPr="00F248FB" w:rsidTr="00A20CAA">
        <w:trPr>
          <w:trHeight w:val="6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формой статистической отчетности №1-ФК за 2018 год</w:t>
            </w:r>
          </w:p>
        </w:tc>
      </w:tr>
      <w:tr w:rsidR="00235D53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49 681,0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52 704,0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55 167,0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формой статистической отчетности №1-ФК за 2018 год</w:t>
            </w:r>
          </w:p>
        </w:tc>
      </w:tr>
      <w:tr w:rsidR="00235D53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населения в возрасте 3-79 лет на 1 января отчетного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91 097,0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95 826,0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96 784,0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значении показателя представлены органами государственной статистики</w:t>
            </w:r>
          </w:p>
        </w:tc>
      </w:tr>
      <w:tr w:rsidR="00235D53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формой статистической отчетности №1-ФК за 2019 год</w:t>
            </w:r>
          </w:p>
        </w:tc>
      </w:tr>
      <w:tr w:rsidR="00235D53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обучающихся, занимающихся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22 091,0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19 080,0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20 271,0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19 854,0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20 709,0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21 239,0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21 675,0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формой статистической отчетности №1-ФК за 2019 год</w:t>
            </w:r>
          </w:p>
        </w:tc>
      </w:tr>
      <w:tr w:rsidR="00235D53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населения в возрасте 0-17 лет на 1 января отчетного года (с 2017 года численность населения в возрасте 3-18 лет)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23 013,0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19 630,0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20 005,0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20 548,0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21 349,0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21 784,0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22 117,0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значении показателя представлены органами государственной статистики</w:t>
            </w:r>
          </w:p>
        </w:tc>
      </w:tr>
      <w:tr w:rsidR="00235D53" w:rsidRPr="00F248FB" w:rsidTr="00A20CAA">
        <w:trPr>
          <w:trHeight w:val="6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строитель</w:t>
            </w:r>
          </w:p>
          <w:p w:rsidR="00235D53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ство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</w:t>
            </w:r>
            <w:proofErr w:type="spellEnd"/>
          </w:p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граждан жильем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показатель рассчитан согласно данных статистики</w:t>
            </w:r>
          </w:p>
        </w:tc>
      </w:tr>
      <w:tr w:rsidR="00235D53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введено общей площади жилых помещений, приходящаяся в среднем на одного жителя за один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показатель рассчитан согласно данных статистики</w:t>
            </w:r>
          </w:p>
        </w:tc>
      </w:tr>
      <w:tr w:rsidR="00235D53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За 2019 год предоставлено под строительство 48 земельных участков, площадью 36.17 га.</w:t>
            </w:r>
          </w:p>
        </w:tc>
      </w:tr>
      <w:tr w:rsidR="00235D53" w:rsidRPr="00F248FB" w:rsidTr="00A20CAA">
        <w:trPr>
          <w:trHeight w:val="18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 площадь земельных участков, предоставленных для строительства в расчете на 10 тыс. человек населения, в том числе земельных участков, представленных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За 2019 год предоставлено 30 земельных участков для индивидуального жилищного строительства</w:t>
            </w:r>
          </w:p>
        </w:tc>
      </w:tr>
      <w:tr w:rsidR="00235D53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жилищного строительства, индивидуального жилищного строительства в расчете на 10 тыс. человек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За 2019 год предоставлено 30 земельных участков для индивидуального жилищного строительства</w:t>
            </w:r>
          </w:p>
        </w:tc>
      </w:tr>
      <w:tr w:rsidR="00235D53" w:rsidRPr="00F248FB" w:rsidTr="00C73B87">
        <w:trPr>
          <w:trHeight w:val="89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жилищного строительства, индивидуального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За 2019 год предоставлено 30 земельных участков для индивидуального жилищного строительства</w:t>
            </w:r>
          </w:p>
        </w:tc>
      </w:tr>
      <w:tr w:rsidR="00235D53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комплексного освоения в целях жилищного строительства в расчете на 10 тыс. человек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В 2020 году предоставлен 1 земельный участок для комплексного освоения в целях жилищного строительства</w:t>
            </w:r>
          </w:p>
        </w:tc>
      </w:tr>
      <w:tr w:rsidR="00235D53" w:rsidRPr="00F248FB" w:rsidTr="00C73B87">
        <w:trPr>
          <w:trHeight w:val="101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комплексного освоения в целях жилищного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В 2020 году предоставлен 1 земельный участок для комплексного освоения в целях жилищного строительства</w:t>
            </w:r>
          </w:p>
        </w:tc>
      </w:tr>
      <w:tr w:rsidR="00235D53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198,2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За 2019 год предоставлено под строительство 48 земельных участков, площадью 36.17 га.</w:t>
            </w:r>
          </w:p>
        </w:tc>
      </w:tr>
      <w:tr w:rsidR="00D73923" w:rsidRPr="00F248FB" w:rsidTr="00A20CAA">
        <w:trPr>
          <w:trHeight w:val="24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лет; иных объектов капитального строительства - в течение 5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вестные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  <w:r w:rsidR="00CA5C7C"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Отсутствуют</w:t>
            </w:r>
          </w:p>
        </w:tc>
      </w:tr>
      <w:tr w:rsidR="00D73923" w:rsidRPr="00F248FB" w:rsidTr="00A20CAA">
        <w:trPr>
          <w:trHeight w:val="21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Отсутствуют</w:t>
            </w:r>
          </w:p>
        </w:tc>
      </w:tr>
      <w:tr w:rsidR="00D73923" w:rsidRPr="00F248FB" w:rsidTr="00A20CAA">
        <w:trPr>
          <w:trHeight w:val="21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иных объектов капитального строительства - в течение 5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Отсутствуют</w:t>
            </w:r>
          </w:p>
        </w:tc>
      </w:tr>
      <w:tr w:rsidR="00CA5C7C" w:rsidRPr="00F248FB" w:rsidTr="00A20CAA">
        <w:trPr>
          <w:trHeight w:val="18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Жилищно-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</w:t>
            </w:r>
            <w:proofErr w:type="spellEnd"/>
          </w:p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территории города собственники помещений во всех многоквартирных домах выбрали и реализуют один из способов управления</w:t>
            </w:r>
          </w:p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C7C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непосредственное управление собственниками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показателя за счет сноса аварийных многоквартирных домов</w:t>
            </w:r>
          </w:p>
        </w:tc>
      </w:tr>
      <w:tr w:rsidR="00CA5C7C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непосредственное управление собственниками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показателя за счет сноса аварийных многоквартирных домов</w:t>
            </w:r>
          </w:p>
        </w:tc>
      </w:tr>
      <w:tr w:rsidR="00CA5C7C" w:rsidRPr="00F248FB" w:rsidTr="00A20CAA">
        <w:trPr>
          <w:trHeight w:val="18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товариществом собственников жилья либо жилищным кооперативом или иным специализированным потребительским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Собственниками многоквартирных домов принято решение о выборе способа управления ТСЖ</w:t>
            </w:r>
          </w:p>
          <w:p w:rsidR="00CA5C7C" w:rsidRPr="00A20CAA" w:rsidRDefault="00CA5C7C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5C7C" w:rsidRPr="00F248FB" w:rsidTr="00A20CAA">
        <w:trPr>
          <w:trHeight w:val="18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Собственниками многоквартирных домов принято решение о выборе способа управления ТСЖ</w:t>
            </w:r>
          </w:p>
        </w:tc>
      </w:tr>
      <w:tr w:rsidR="00CA5C7C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муниципальным или государственным учреждением либо предприятием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Изменение за счет смены управляющей организации на основании решения собственников</w:t>
            </w:r>
          </w:p>
        </w:tc>
      </w:tr>
      <w:tr w:rsidR="00CA5C7C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муниципальным или государственным учреждением либо предприятием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Изменение за счет смены управляющей организации на основании решения собственников</w:t>
            </w:r>
          </w:p>
        </w:tc>
      </w:tr>
      <w:tr w:rsidR="00CA5C7C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управляющей организацией частной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Изменение за счет смены управляющей организации на основании решения собственников</w:t>
            </w:r>
          </w:p>
        </w:tc>
      </w:tr>
      <w:tr w:rsidR="00CA5C7C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управляющей организацией частной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Изменение за счет смены управляющей организации на основании решения собственников</w:t>
            </w:r>
          </w:p>
        </w:tc>
      </w:tr>
      <w:tr w:rsidR="00CA5C7C" w:rsidRPr="00F248FB" w:rsidTr="00A20CAA">
        <w:trPr>
          <w:trHeight w:val="21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хозяйственным обществом с долей участия в уставном капитале субъекта Российской Федерации и (или) городского округа (муниципального района) не более 25 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изменилось по причине смены управляющих организаций в многоквартирных домах</w:t>
            </w:r>
          </w:p>
        </w:tc>
      </w:tr>
      <w:tr w:rsidR="00CA5C7C" w:rsidRPr="00F248FB" w:rsidTr="00A20CAA">
        <w:trPr>
          <w:trHeight w:val="21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хозяйственным обществом с долей участия в уставном капитале субъекта Российской Федерации и (или) городского округа (муниципального района) не более 25 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изменилось по причине смены управляющих организаций в многоквартирных домах</w:t>
            </w:r>
          </w:p>
        </w:tc>
      </w:tr>
      <w:tr w:rsidR="00CA5C7C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число многоквартирных домов в городском округе (муниципальном районе), собственники помещений в которых должны выбирать способ управления данными домами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Показатель рассчитан согласно данных органов статистики</w:t>
            </w:r>
          </w:p>
        </w:tc>
      </w:tr>
      <w:tr w:rsidR="00CA5C7C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способ управления многоквартирными домами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Показатель рассчитан согласно данных органов статистики</w:t>
            </w:r>
          </w:p>
        </w:tc>
      </w:tr>
      <w:tr w:rsidR="004B66E5" w:rsidRPr="00F248FB" w:rsidTr="00A20CAA">
        <w:trPr>
          <w:trHeight w:val="3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2019 году перестала оказывать коммунальные услуги ООО "</w:t>
            </w:r>
            <w:proofErr w:type="spellStart"/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ЮграТеплоГазСтрой</w:t>
            </w:r>
            <w:proofErr w:type="spellEnd"/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4B66E5" w:rsidRPr="00F248FB" w:rsidTr="00A20CAA">
        <w:trPr>
          <w:trHeight w:val="24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организаций коммунального комплекса, осуществляющих оказание коммунальных услуг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2019 году перестала оказывать коммунальные услуги ООО "</w:t>
            </w:r>
            <w:proofErr w:type="spellStart"/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ЮграТеплоГазСтрой</w:t>
            </w:r>
            <w:proofErr w:type="spellEnd"/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4B66E5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число организаций коммунального комплекса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2019 году перестала оказывать коммунальные услуги ООО "</w:t>
            </w:r>
            <w:proofErr w:type="spellStart"/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ЮграТеплоГазСтрой</w:t>
            </w:r>
            <w:proofErr w:type="spellEnd"/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4B66E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территории города в отношении всех земельных участков на которых расположены многоквартирные дома осуществлен государственный кадастровый учет</w:t>
            </w:r>
          </w:p>
        </w:tc>
      </w:tr>
      <w:tr w:rsidR="004B66E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рассчитан согласно данных органов статистики</w:t>
            </w:r>
          </w:p>
        </w:tc>
      </w:tr>
      <w:tr w:rsidR="004B66E5" w:rsidRPr="00F248FB" w:rsidTr="00A20CAA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количество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рассчитан согласно данных органов статистики</w:t>
            </w:r>
          </w:p>
        </w:tc>
      </w:tr>
      <w:tr w:rsidR="004B66E5" w:rsidRPr="00F248FB" w:rsidTr="00FB1D9F">
        <w:trPr>
          <w:trHeight w:val="202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течение 2019 года в рамках исполнения жилищных программ 1015 семей улучшили жилищные условия, в том числе 478 семей в рамках жилищных программ, реализуемых АО «Ипотечное агентство Югры».</w:t>
            </w:r>
          </w:p>
        </w:tc>
      </w:tr>
      <w:tr w:rsidR="004B66E5" w:rsidRPr="00F248FB" w:rsidTr="00A20CAA">
        <w:trPr>
          <w:trHeight w:val="15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</w:t>
            </w:r>
            <w:proofErr w:type="spellEnd"/>
          </w:p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ция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2018 года</w:t>
            </w:r>
          </w:p>
        </w:tc>
      </w:tr>
      <w:tr w:rsidR="004B66E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налоговых и неналоговых доходов местного бюджета (за исключением поступлений налоговых доходов по дополнительным нормативам отчислений)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2 373 054,8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2 388 980,7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2 747 203,7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3 011 583,3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2 964 242,5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3 033 870,7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3 139 394,1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за счет роста фонда оплаты труда, в том числе в соответствии с Указами Президента РФ</w:t>
            </w:r>
          </w:p>
        </w:tc>
      </w:tr>
      <w:tr w:rsidR="004B66E5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собственных доходов бюджета муниципального образования (без учета субвенций)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5 314 697,0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5 434 985,4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5 464 682,9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6 002 201,8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7 932 514,7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5 451 595,3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5 582 964,4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за счет роста фонда оплаты труда, в том числе в соответствии с Указами Президента РФ</w:t>
            </w:r>
          </w:p>
        </w:tc>
      </w:tr>
      <w:tr w:rsidR="004B66E5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Отсутствуют организации муниципальной формы собственности, находящиеся в стадии банкротства на конец года</w:t>
            </w:r>
          </w:p>
        </w:tc>
      </w:tr>
      <w:tr w:rsidR="004B66E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Полная учетная стоимость основных фондов организаций муниципальной формы собственности, находящихся в стадии банкротства на конец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Отсутствуют организации муниципальной формы собственности, находящиеся в стадии банкротства на конец года</w:t>
            </w:r>
          </w:p>
        </w:tc>
      </w:tr>
      <w:tr w:rsidR="004B66E5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Полная учетная стоимость основных фондов организаций муниципальной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17732769,0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20348086,0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48627106,0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58612911,0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53262654,0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55630705,0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F109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57299626,0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рассчитан согласно данных органов статистики</w:t>
            </w:r>
          </w:p>
        </w:tc>
      </w:tr>
      <w:tr w:rsidR="004B66E5" w:rsidRPr="00F248FB" w:rsidTr="00FB1D9F">
        <w:trPr>
          <w:trHeight w:val="214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1 503 765,8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2 766 912,7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1 628 310,7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1 601 832,8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показателя за счет ввода в эксплуатацию объектов незавершенного строительства, введено в эксплуатацию и передано в казну 20 объектов общей балансовой стоимостью 1138602,0 тыс. рублей.</w:t>
            </w:r>
          </w:p>
        </w:tc>
      </w:tr>
      <w:tr w:rsidR="004B66E5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4B66E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просроченной кредиторской задолженности по оплате труда (включая начисления на оплату труда) муниципальных учреждений (на конец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4B66E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расходов муниципального образования на оплату труда (включая начисления на оплату труда)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3 649 127,3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3 830 168,5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4 267 076,1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4 603 303,9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4 895 543,2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4 729 629,6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4 729 642,0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 января 2019 года увеличен минимальный размер заработной платы работников; увеличение средств в связи обеспечением расходных обязательств, связанных с индексацией оплаты труда работников, не подпадающих под действие Указов Президента Российской Федерации на прогнозный уровень инфляции 4%; в 2019 году предельная величина для исчисления страховых взносов увеличилась по отношению к 2018 году</w:t>
            </w:r>
          </w:p>
        </w:tc>
      </w:tr>
      <w:tr w:rsidR="004B66E5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3 774,5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2018 года</w:t>
            </w:r>
          </w:p>
        </w:tc>
      </w:tr>
      <w:tr w:rsidR="004B66E5" w:rsidRPr="00F248FB" w:rsidTr="00FB1D9F">
        <w:trPr>
          <w:trHeight w:val="102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расходов бюджета муниципального образования на содержание работников органов местного самоуправления,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449 140,7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442 905,2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477 731,6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528 190,3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530 210,1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531 003,0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531 043,0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расходов связано с изменением бюджетной классификации по видам расходов </w:t>
            </w:r>
          </w:p>
        </w:tc>
      </w:tr>
      <w:tr w:rsidR="004B66E5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</w:t>
            </w:r>
            <w:proofErr w:type="spellEnd"/>
          </w:p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ная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Принят решением Думы города Ханты-Мансийска от 29.01.1998 №3 </w:t>
            </w:r>
          </w:p>
        </w:tc>
      </w:tr>
      <w:tr w:rsidR="004B66E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Удовлетворенность населения деятельностью местного самоуправления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 от числа опрошенных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Данные представлены Департаментом общественных и внешних связей ХМАО-Югры</w:t>
            </w:r>
          </w:p>
        </w:tc>
      </w:tr>
      <w:tr w:rsidR="004B66E5" w:rsidRPr="00F248FB" w:rsidTr="00FB1D9F">
        <w:trPr>
          <w:trHeight w:val="60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рассчитан согласно данных органов статистики</w:t>
            </w:r>
          </w:p>
        </w:tc>
      </w:tr>
      <w:tr w:rsidR="00D73923" w:rsidRPr="00F248FB" w:rsidTr="00A20CAA">
        <w:trPr>
          <w:trHeight w:val="12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Энергосбе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режение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повышение энергетической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эффектив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(электрическая и тепловая энергия, вода, природный газ) в многоквартирных домах (из расчета на 1 кв. метр общей площади и (или) на одного человека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вестные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1F9D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</w:t>
            </w: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час на 1 проживающего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5248FA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8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Суммарное потребление электроэнергии всеми МКД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F10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425606,5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79378108,5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77960392,9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79269734,1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78526600,0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77779832,1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77028654,8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FB1D9F">
        <w:trPr>
          <w:trHeight w:val="105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проживающих в многоквартирных домах (с электроэнергией)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95 342,0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98 502,0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99 297,0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Гкал. на 1кв. метр общей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Суммарный объём потребленной тепловой энергии всеми МКД на территории муниципального </w:t>
            </w: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Гигака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лория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296 656,0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353 790,0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362 886,7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371 859,8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380 715,9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Значение показателя увеличилось в связи со строительством и вводом </w:t>
            </w: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 эксплуатацию новых МКД</w:t>
            </w:r>
          </w:p>
        </w:tc>
      </w:tr>
      <w:tr w:rsidR="00E81F9D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1 774 000,0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1 854 100,0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1 897 600,0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1 965 500,0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2 027 300,0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2 089 100,0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2 150 937,4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409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кубических метров на 1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125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потребленной горячей воды всеми МКД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Кубический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506 140,6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519 329,9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560 653,6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804 531,7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857 062,7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907 173,2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957 225,8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проживающих в многоквартирных домах (с горячей водой)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55 654,8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59 161,1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кубических метров на 1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потребленной холодной воды всеми МКД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ческий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2 527 982,3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2 560 395,0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2 561 052,0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3 266 016,1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3 248 865,0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3 231 618,4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3 213 250,9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проживающих в многоквартирных домах (с холодной водой)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98 502,0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99 297,0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</w:t>
            </w:r>
            <w:proofErr w:type="spellEnd"/>
          </w:p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ческих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метров на 1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потребленного природного газа всеми МКД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ческий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1 272 201,0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1 275 076,6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1 283 873,3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1 341 289,4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1 391 843,8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1 441 958,2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1 491 549,5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проживающих в многоквартирных домах (с газом)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53 866,0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1 кв. метр общей площади и (или) на одного человека)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вестные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1F9D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</w:t>
            </w: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</w:p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час на 1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потребления электрической энергии обусловлено увеличением среднегодовой численности населения</w:t>
            </w:r>
          </w:p>
        </w:tc>
      </w:tr>
      <w:tr w:rsidR="00E81F9D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Суммарное потребление электроэнергии всеми муниципальными бюджетными учреждениями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10 063104,3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8C1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9 894392,0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8C1A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9 902404,2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8C1A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9 959041,0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9 966 946,0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10 048029,5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10 427535,2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обусловлено увеличением общей площади муниципальных бюджетных учреждений</w:t>
            </w:r>
          </w:p>
        </w:tc>
      </w:tr>
      <w:tr w:rsidR="00E81F9D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Гкал. на 1кв. метр общей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потребления электрической энергии обусловлено увеличением среднегодовой численности населения</w:t>
            </w:r>
          </w:p>
        </w:tc>
      </w:tr>
      <w:tr w:rsidR="00E81F9D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Суммарное потребление тепловой энергии всеми муниципальными бюджетными учреждениями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Гигака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лория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34 457,7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33 543,9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35 806,6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35 951,6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36 626,0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37 300,5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37 971,9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обусловлено увеличением общей площади муниципальных </w:t>
            </w: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бюджетных учреждений</w:t>
            </w:r>
          </w:p>
        </w:tc>
      </w:tr>
      <w:tr w:rsidR="00E81F9D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муниципальных бюджетных учреждений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208 834,3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209 649,4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255 761,3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299 596,7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307 781,8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316 105,7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324 546,0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обусловлено строительством новых муниципальных бюджетных учреждений</w:t>
            </w:r>
          </w:p>
        </w:tc>
      </w:tr>
      <w:tr w:rsidR="00E81F9D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кубических метров на 1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вающе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2018 года</w:t>
            </w:r>
          </w:p>
        </w:tc>
      </w:tr>
      <w:tr w:rsidR="00E81F9D" w:rsidRPr="00F248FB" w:rsidTr="00FB1D9F">
        <w:trPr>
          <w:trHeight w:val="409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потребленной горячей воды муниципальными бюджетными учреждениями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ческий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1 790,4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обусловлено увеличением общей площади муниципальных бюджетных учреждений</w:t>
            </w:r>
          </w:p>
        </w:tc>
      </w:tr>
      <w:tr w:rsidR="00A20CAA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кубических метров на 1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A20CAA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A20CAA" w:rsidRDefault="00A20CAA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обусловлено увеличением общей площади муниципальных бюджетных учреждений</w:t>
            </w:r>
          </w:p>
        </w:tc>
      </w:tr>
      <w:tr w:rsidR="00A20CAA" w:rsidRPr="00F248FB" w:rsidTr="00FB1D9F">
        <w:trPr>
          <w:trHeight w:val="11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потребленной холодной воды муниципальными бюджетными учреждениями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Кубический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99 770,3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92 673,7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107 252,8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108 129,6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109 811,8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114 796,6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A20CAA" w:rsidRDefault="00A20CAA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обусловлено увеличением общей площади муниципальных бюджетных учреждений</w:t>
            </w:r>
          </w:p>
        </w:tc>
      </w:tr>
      <w:tr w:rsidR="00A20CAA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кубических метров на 1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A20CAA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A20CAA" w:rsidRDefault="00A20CAA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A20CAA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потребленного природного газа всеми муниципальными бюджетными учреждениями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Кубический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A20CAA" w:rsidRDefault="00A20CAA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A20CAA" w:rsidRPr="00F248FB" w:rsidTr="00FB1D9F">
        <w:trPr>
          <w:trHeight w:val="330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F248FB" w:rsidRDefault="00A20CAA" w:rsidP="00C9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образований» на основании распоряжения Правительства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ХМАО</w:t>
            </w: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Югры от 20.07.2018 № 378-рп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A20CAA" w:rsidRDefault="00A20CAA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20CAA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A20CAA" w:rsidRDefault="00A20CAA" w:rsidP="00D2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Независимая оценка проводится не реже чем один раз в три года. Независимая оценка запланировано в 2020 году в отношении МБУ «Культурно-досуговый центр «Октябрь», МБУ «Городская централизованная библиотечная система» Общественным советом по проведению независимой оценки качества условий оказания услуг организациями культуры Ханты-Мансийского автономного округа – Югры, созданного при Департаменте культуры Ханты-Мансийского автономного округа – Югры.</w:t>
            </w:r>
          </w:p>
        </w:tc>
      </w:tr>
      <w:tr w:rsidR="00A20CAA" w:rsidRPr="00F248FB" w:rsidTr="00D24B55">
        <w:trPr>
          <w:trHeight w:val="110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A20CAA" w:rsidRDefault="00D24B5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A20CAA"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тсутствуют муниципальные организации, оказывающие услуги в сфере здравоохранения</w:t>
            </w:r>
          </w:p>
        </w:tc>
      </w:tr>
      <w:tr w:rsidR="00A20CAA" w:rsidRPr="00F248FB" w:rsidTr="00D24B55">
        <w:trPr>
          <w:trHeight w:val="212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A20CAA" w:rsidRDefault="00A20CAA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расчете использовано среднее значение результатов, достигнутых по итогам проведения независимой оценки условий оказания услуг в сфере образования 10 муниципальных организаций, прошедших процедуру в 2019 году</w:t>
            </w:r>
          </w:p>
        </w:tc>
      </w:tr>
      <w:tr w:rsidR="00D24B55" w:rsidRPr="00F248FB" w:rsidTr="00D24B55">
        <w:trPr>
          <w:trHeight w:val="126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55" w:rsidRPr="00F248FB" w:rsidRDefault="00D24B55" w:rsidP="00D2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5" w:rsidRPr="00F248FB" w:rsidRDefault="00D24B55" w:rsidP="00D2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B55" w:rsidRPr="00F248FB" w:rsidRDefault="00D24B55" w:rsidP="00D2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B55" w:rsidRPr="00F248FB" w:rsidRDefault="00D24B55" w:rsidP="00D2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5" w:rsidRPr="00A20CAA" w:rsidRDefault="00D24B55" w:rsidP="00D2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тсутствуют муниципальные организации, оказывающие услуги в сфере социального обслуживания</w:t>
            </w:r>
          </w:p>
        </w:tc>
      </w:tr>
      <w:tr w:rsidR="00D24B55" w:rsidRPr="00F248FB" w:rsidTr="00D24B55">
        <w:trPr>
          <w:trHeight w:val="26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B55" w:rsidRPr="00F248FB" w:rsidRDefault="00D24B55" w:rsidP="00D2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5" w:rsidRPr="00F248FB" w:rsidRDefault="00D24B55" w:rsidP="00D2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4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B55" w:rsidRPr="00F248FB" w:rsidRDefault="00D24B55" w:rsidP="00D2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B55" w:rsidRPr="00F248FB" w:rsidRDefault="00D24B55" w:rsidP="00D2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5" w:rsidRPr="00A20CAA" w:rsidRDefault="00D24B55" w:rsidP="00D2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B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соответствии с Приказом 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инфина</w:t>
            </w:r>
            <w:r w:rsidRPr="00D24B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РФ, независимая оценка в сфере физической культуры и спорта не осуществляется</w:t>
            </w:r>
          </w:p>
        </w:tc>
      </w:tr>
    </w:tbl>
    <w:p w:rsidR="00D73923" w:rsidRDefault="00D73923" w:rsidP="00D7392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  <w:sectPr w:rsidR="00D73923" w:rsidSect="00E52F41">
          <w:pgSz w:w="16838" w:h="11906" w:orient="landscape"/>
          <w:pgMar w:top="567" w:right="1021" w:bottom="851" w:left="1021" w:header="709" w:footer="709" w:gutter="0"/>
          <w:cols w:space="708"/>
          <w:docGrid w:linePitch="360"/>
        </w:sectPr>
      </w:pPr>
    </w:p>
    <w:p w:rsidR="0052391C" w:rsidRPr="0013502F" w:rsidRDefault="0052391C" w:rsidP="00E52F41">
      <w:pPr>
        <w:pStyle w:val="1"/>
        <w:spacing w:before="0" w:line="240" w:lineRule="auto"/>
        <w:ind w:right="-2" w:firstLine="709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13502F">
        <w:rPr>
          <w:rFonts w:ascii="Times New Roman" w:eastAsia="Calibri" w:hAnsi="Times New Roman" w:cs="Times New Roman"/>
          <w:color w:val="auto"/>
          <w:lang w:eastAsia="ru-RU"/>
        </w:rPr>
        <w:lastRenderedPageBreak/>
        <w:t>Раздел 3. Информация о внедрении информационных технологий и повышении информационной открытости, повышении качества предоставляемых муниципальных услуг</w:t>
      </w:r>
      <w:r>
        <w:rPr>
          <w:rFonts w:ascii="Times New Roman" w:eastAsia="Calibri" w:hAnsi="Times New Roman" w:cs="Times New Roman"/>
          <w:color w:val="auto"/>
          <w:lang w:eastAsia="ru-RU"/>
        </w:rPr>
        <w:t>.</w:t>
      </w:r>
    </w:p>
    <w:p w:rsidR="0052391C" w:rsidRPr="0013502F" w:rsidRDefault="0052391C" w:rsidP="00E52F41">
      <w:pPr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391C" w:rsidRDefault="0052391C" w:rsidP="00E52F4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3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округа.</w:t>
      </w:r>
    </w:p>
    <w:p w:rsidR="0052391C" w:rsidRDefault="0052391C" w:rsidP="00E52F41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60C0" w:rsidRPr="00E060C0" w:rsidRDefault="00E060C0" w:rsidP="00E52F4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C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округа.</w:t>
      </w:r>
    </w:p>
    <w:p w:rsidR="00E060C0" w:rsidRPr="00E060C0" w:rsidRDefault="00E060C0" w:rsidP="00E52F41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реализации положений Федерального закона от 09.02.2009 </w:t>
      </w:r>
      <w:r w:rsidR="006369D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№8-ФЗ «Об обеспечении доступа к информации о деятельности государственных органов и органов местного самоуправления» продолжена работа по развитию</w:t>
      </w:r>
      <w:r w:rsidRPr="00E060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и продвижению Официального портала.</w:t>
      </w:r>
    </w:p>
    <w:p w:rsidR="00E060C0" w:rsidRPr="00E060C0" w:rsidRDefault="00E060C0" w:rsidP="00E52F41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Стоит отметить, что ежемесячная посещаемость Официального портала составляет более 44 тысяч человек и Официальный портал находится в двадцатке списка самых посещаемых сайтов по статистике Рамблер/топ-100 в категории «Органы государственной власти».</w:t>
      </w:r>
    </w:p>
    <w:p w:rsidR="00E060C0" w:rsidRPr="00E060C0" w:rsidRDefault="00E060C0" w:rsidP="00E52F41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Большой популярностью у жителей пользуются сервисы Официального портала.</w:t>
      </w:r>
    </w:p>
    <w:p w:rsidR="00E060C0" w:rsidRDefault="00E060C0" w:rsidP="00E52F41">
      <w:pPr>
        <w:widowControl w:val="0"/>
        <w:shd w:val="clear" w:color="auto" w:fill="FFFFFF"/>
        <w:autoSpaceDN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на 12% по сравнению с 2018 годом увеличилось число горожан, подписанных на бесплатную СМС-рассылку о проводимых мероприятиях, публичных слушаниях, актированных днях (2014 год – 964 пользователя, 2015 год – 1566 пользовател</w:t>
      </w:r>
      <w:r w:rsidR="006369D8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, 2016 год – 2240 пользователей, 2017 год – 3019 пользователей, 2018 год – 6271 пользовател</w:t>
      </w:r>
      <w:r w:rsidR="006369D8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, 2019 год – 7444</w:t>
      </w:r>
      <w:r w:rsidR="00636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пользователя</w:t>
      </w: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7268E5" w:rsidRDefault="002360B6" w:rsidP="00E52F41">
      <w:pPr>
        <w:widowControl w:val="0"/>
        <w:shd w:val="clear" w:color="auto" w:fill="FFFFFF"/>
        <w:autoSpaceDN w:val="0"/>
        <w:spacing w:after="0" w:line="240" w:lineRule="auto"/>
        <w:ind w:right="-2"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Рисунок №2</w:t>
      </w:r>
    </w:p>
    <w:p w:rsidR="007268E5" w:rsidRPr="00E060C0" w:rsidRDefault="007268E5" w:rsidP="00E52F41">
      <w:pPr>
        <w:widowControl w:val="0"/>
        <w:shd w:val="clear" w:color="auto" w:fill="FFFFFF"/>
        <w:autoSpaceDN w:val="0"/>
        <w:spacing w:after="0" w:line="240" w:lineRule="auto"/>
        <w:ind w:right="-2"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60C0" w:rsidRPr="00E060C0" w:rsidRDefault="00E060C0" w:rsidP="00E52F41">
      <w:pPr>
        <w:autoSpaceDN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60C0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граждан, подписанных на СМС-рассылку</w:t>
      </w:r>
    </w:p>
    <w:p w:rsidR="00E060C0" w:rsidRPr="00E060C0" w:rsidRDefault="00E060C0" w:rsidP="00E52F41">
      <w:pPr>
        <w:autoSpaceDN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60C0" w:rsidRPr="00E060C0" w:rsidRDefault="00E060C0" w:rsidP="00E52F41">
      <w:pPr>
        <w:autoSpaceDN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60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C4A240" wp14:editId="32914373">
            <wp:extent cx="4369982" cy="2275367"/>
            <wp:effectExtent l="0" t="0" r="0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60C0" w:rsidRPr="00E060C0" w:rsidRDefault="00E060C0" w:rsidP="00E52F41">
      <w:pPr>
        <w:widowControl w:val="0"/>
        <w:shd w:val="clear" w:color="auto" w:fill="FFFFFF"/>
        <w:tabs>
          <w:tab w:val="left" w:pos="567"/>
        </w:tabs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объем информации, размещенной на Официальном </w:t>
      </w: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информационном портале, составляет более 66 Гигабайт.</w:t>
      </w:r>
    </w:p>
    <w:p w:rsidR="00E060C0" w:rsidRPr="00E060C0" w:rsidRDefault="00E060C0" w:rsidP="00E52F41">
      <w:pPr>
        <w:widowControl w:val="0"/>
        <w:shd w:val="clear" w:color="auto" w:fill="FFFFFF"/>
        <w:tabs>
          <w:tab w:val="left" w:pos="567"/>
        </w:tabs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Большая посещаемость Официального информационного портала, свидетельствует о его востребованности среди жителей города, актуальности, доступности и открытости информации о деятельности органов местного самоуправления города Ханты-Мансийска.</w:t>
      </w:r>
    </w:p>
    <w:p w:rsidR="00E060C0" w:rsidRPr="00E060C0" w:rsidRDefault="00E060C0" w:rsidP="00E52F41">
      <w:pPr>
        <w:widowControl w:val="0"/>
        <w:shd w:val="clear" w:color="auto" w:fill="FFFFFF"/>
        <w:tabs>
          <w:tab w:val="left" w:pos="567"/>
        </w:tabs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Для удобства граждан сервис «Улучшим наш город», который является дополнительным каналом связи жителей города и органов местного самоуправления города Ханты-Мансийска, выведен в мобильное приложение «</w:t>
      </w:r>
      <w:proofErr w:type="spellStart"/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Югры».</w:t>
      </w:r>
    </w:p>
    <w:p w:rsidR="00E060C0" w:rsidRPr="00E060C0" w:rsidRDefault="00E060C0" w:rsidP="00E52F41">
      <w:pPr>
        <w:widowControl w:val="0"/>
        <w:shd w:val="clear" w:color="auto" w:fill="FFFFFF"/>
        <w:tabs>
          <w:tab w:val="left" w:pos="567"/>
        </w:tabs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мобильного приложения, жители города подают заявки на улучшение отдельных объектов города (например, заделать яму на дороге, убрать стихийную свалку, очистить дорогу от снега или вывезти снег и т.д.).</w:t>
      </w:r>
    </w:p>
    <w:p w:rsidR="00E060C0" w:rsidRPr="00E060C0" w:rsidRDefault="00E060C0" w:rsidP="00E52F41">
      <w:pPr>
        <w:widowControl w:val="0"/>
        <w:shd w:val="clear" w:color="auto" w:fill="FFFFFF"/>
        <w:tabs>
          <w:tab w:val="left" w:pos="567"/>
        </w:tabs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В городе Ханты-Мансийске продолжается реализация проекта по открытым данным, направленная на раскрытие информации о деятельности органов местного самоуправления в машиночитаемом виде неограниченному кругу лиц.</w:t>
      </w:r>
    </w:p>
    <w:p w:rsidR="00E060C0" w:rsidRPr="00E060C0" w:rsidRDefault="00E060C0" w:rsidP="00E52F41">
      <w:pPr>
        <w:widowControl w:val="0"/>
        <w:shd w:val="clear" w:color="auto" w:fill="FFFFFF"/>
        <w:tabs>
          <w:tab w:val="left" w:pos="567"/>
        </w:tabs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2019 году был осуществлен </w:t>
      </w:r>
      <w:r w:rsidRPr="00E060C0">
        <w:rPr>
          <w:rFonts w:ascii="Times New Roman" w:eastAsia="Calibri" w:hAnsi="Times New Roman" w:cs="Times New Roman"/>
          <w:sz w:val="28"/>
          <w:szCs w:val="28"/>
        </w:rPr>
        <w:t>переход на региональный Портал открытых данных.</w:t>
      </w: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портале размещено 40 актуальных наборов открытых данных.</w:t>
      </w:r>
    </w:p>
    <w:p w:rsidR="00E060C0" w:rsidRPr="00E060C0" w:rsidRDefault="00E060C0" w:rsidP="00E52F41">
      <w:pPr>
        <w:widowControl w:val="0"/>
        <w:shd w:val="clear" w:color="auto" w:fill="FFFFFF"/>
        <w:tabs>
          <w:tab w:val="left" w:pos="567"/>
        </w:tabs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Открытые данные города активно используются при проведении конкурсов для разработчиков мобильных приложений и веб-сервисов на основе открытых данных «Югорский </w:t>
      </w:r>
      <w:proofErr w:type="spellStart"/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Хакатон</w:t>
      </w:r>
      <w:proofErr w:type="spellEnd"/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E84B80" w:rsidRDefault="00E84B80" w:rsidP="00E52F41">
      <w:pPr>
        <w:tabs>
          <w:tab w:val="left" w:pos="1134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B80" w:rsidRDefault="00E84B80" w:rsidP="00E52F4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Повышение информационной открытости органов местного самоуправления городских округов и муниципальных районов автономного округа, включая информацию о качестве окружающей среды, публичная и </w:t>
      </w:r>
      <w:proofErr w:type="spellStart"/>
      <w:r w:rsidRPr="0025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медийная</w:t>
      </w:r>
      <w:proofErr w:type="spellEnd"/>
      <w:r w:rsidRPr="0025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(публикации и выступления в СМИ) активность глав городских округов и муниципальных районов автономного округа, работа с населением.</w:t>
      </w:r>
    </w:p>
    <w:p w:rsidR="00254513" w:rsidRPr="00254513" w:rsidRDefault="00254513" w:rsidP="00E52F4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87B" w:rsidRPr="0076687B" w:rsidRDefault="0076687B" w:rsidP="00E52F4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годы в Ханты-Мансийске существенно повысилась активность горожан в вопросах управления окружной столицей. Эффективное развитие городской среды возможно только при непосредственном участии 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хантымансийцев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принятия управленческих решений. </w:t>
      </w:r>
    </w:p>
    <w:p w:rsidR="0076687B" w:rsidRPr="0076687B" w:rsidRDefault="0076687B" w:rsidP="00E52F41">
      <w:pPr>
        <w:spacing w:after="0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В столице Югры действуют 14 общественных советов при органах местного самоуправления. С начала этого года проведены 53 заседания всех советов, на которых рассмотрены более 150 вопросов, касающихся развития города Ханты-Мансийска. </w:t>
      </w: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без участия членов городских </w:t>
      </w: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общественных советов не принимается ни одно решение, связанное с социально-экономическим положением муниципалитета. Общественники, активисты города являются полноправными участниками процесса управления городом. Городские лидеры общественного мнения входят в состав Общественной палаты Югры, общественных советов исполнительных органов власти округа, активно участвуют в окружных, всероссийских мероприятиях, форумах, семинарах. </w:t>
      </w:r>
    </w:p>
    <w:p w:rsidR="0076687B" w:rsidRPr="0076687B" w:rsidRDefault="0076687B" w:rsidP="00E52F4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город Ханты-Мансийск занял первое место в номинации «Обеспечение эффективной «обратной связи» с жителями муниципальных образований», второе место по итогам регионального этапа Всероссийского конкурса лучших муниципальных практик в номинации «Укрепление межнационального мира и согласия, реализация иных мероприятий в сфере национальной политики на муниципальном уровне». С целью дальнейшего совершенствования взаимодействия органов местного самоуправления с институтами гражданского общества при реализации государственной национальной политики Российской Федерации в ноябре 2019 года подписано соглашение о взаимодействии и сотрудничестве между Администрацией города Ханты-Мансийска и Региональным отделением Общероссийской общественной организации «Ассамблея народов России». </w:t>
      </w:r>
    </w:p>
    <w:p w:rsidR="0076687B" w:rsidRPr="0076687B" w:rsidRDefault="0076687B" w:rsidP="00E52F4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общества, и прежде всего, информационных технологий, выводящих коммуникацию между людьми на новый уровень, дает возможность привлечения широкого круга общественности к обсуждению насущных проблем и их решению путем выработки коллективных рекомендаций в адрес органов власти в режиме онлайн. Уже четвертый год в Ханты-Мансийске реализуется 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краудсорсинговый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«Мы вместе!». В 2016 – 2019 годах проведено 53 общественных обсуждения, 52 онлайн-опроса. Общая численность участников мероприятий за четыре года – около 35 тысяч человек. 2019 год был отмечен активным участием горожан в 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краудсорсинговом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проекте. В 2019 году состоялось 19 общественных обсуждений, на которых рассмотрено 22 актуальных вопроса городской повестки. Активно 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хантымансийцы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обсуждают темы благоустройства, дорожного ремонта, инициативного бюджетирования, школьного питания, переноса воинской части, вопросы налогообложения, содержания домашних животных, 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брендинга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 т.д. Число участников очных встреч выросло на 30 процентов по сравнению с прошлым годом и это неравнодушные граждане, которым небезразлична жизнь города и которые непосредственно участвуют в решении значимых городских вопросов. </w:t>
      </w:r>
      <w:r w:rsidRPr="007668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Набирает популярность портал </w:t>
      </w:r>
      <w:proofErr w:type="spellStart"/>
      <w:r w:rsidRPr="0076687B">
        <w:rPr>
          <w:rFonts w:ascii="Times New Roman" w:eastAsia="Calibri" w:hAnsi="Times New Roman" w:cs="Times New Roman"/>
          <w:sz w:val="28"/>
          <w:szCs w:val="28"/>
          <w:lang w:eastAsia="ru-RU"/>
        </w:rPr>
        <w:t>краудсорсингового</w:t>
      </w:r>
      <w:proofErr w:type="spellEnd"/>
      <w:r w:rsidRPr="007668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проекта «Мы вместе!» </w:t>
      </w:r>
      <w:r w:rsidRPr="007668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crowd.admhmansy.ru</w:t>
      </w:r>
      <w:r w:rsidRPr="007668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Он работает в формате открытой площадки, на которой </w:t>
      </w:r>
      <w:r w:rsidRPr="0076687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каждый зарегистрированный пользователь может размещать свои идеи, предложения и обсуждать их вместе с другими пользователями и экспертами, голосовать за лучшие инициативы. Этим ресурсом все чаще пользуются участники конкурса инициативного бюджетирования «Мы планируем бюджет вместе». В 2019 году в Ханты-Мансийске уже реализовано несколько проектов, информация о которых была размещена на </w:t>
      </w:r>
      <w:proofErr w:type="spellStart"/>
      <w:r w:rsidRPr="0076687B">
        <w:rPr>
          <w:rFonts w:ascii="Times New Roman" w:eastAsia="Calibri" w:hAnsi="Times New Roman" w:cs="Times New Roman"/>
          <w:sz w:val="28"/>
          <w:szCs w:val="28"/>
          <w:lang w:eastAsia="ru-RU"/>
        </w:rPr>
        <w:t>краудсорсинговом</w:t>
      </w:r>
      <w:proofErr w:type="spellEnd"/>
      <w:r w:rsidRPr="007668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портале. </w:t>
      </w:r>
    </w:p>
    <w:p w:rsidR="0076687B" w:rsidRPr="0076687B" w:rsidRDefault="0076687B" w:rsidP="00E52F41">
      <w:pPr>
        <w:widowControl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6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События и темы городской жизни окружного центра в 2019 году систематически освещали 25 средств массовой информации, в том числе федеральных, УРФО, региональных и городских СМИ, среди которых – телеканалы, информационные агентства, электронные версии газет. Информация о ключевых событиях города в течение года опубликована в федеральных СМИ – информационных агентствах «Интерфакс», «</w:t>
      </w:r>
      <w:proofErr w:type="spellStart"/>
      <w:r w:rsidRPr="00766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Итар-Тасс</w:t>
      </w:r>
      <w:proofErr w:type="spellEnd"/>
      <w:r w:rsidRPr="00766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766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Регнум</w:t>
      </w:r>
      <w:proofErr w:type="spellEnd"/>
      <w:r w:rsidRPr="00766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интернет-газете «Комсомольская правда», в «Российской газете», вышли сюжеты на телеканалах: «Мир», «Россия 24». Наибольший отклик в средствах массовой информации вызвали знаковые мероприятия – </w:t>
      </w:r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итоги реализация национального проекта «Безопасные и качественные автомобильные дороги» в Ханты-Мансийске, благоустройство общественных территорий в рамках реализации федерального проекта «Формирование комфортной городской среды», победа окружного центра на всероссийском этапе конкурса на «Лучшую муниципальную практику», рождение 100-тысячного жителя города и другие, реализация проекта</w:t>
      </w: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«Умный город»</w:t>
      </w:r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6687B" w:rsidRPr="0076687B" w:rsidRDefault="0076687B" w:rsidP="00E52F41">
      <w:pPr>
        <w:widowControl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течение года проведена масштабная работа по продвижению официальных 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пабликов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 города в социальных сетях: привлечено 3</w:t>
      </w:r>
      <w:r w:rsidRPr="0076687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000 подписчиков в группу 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ВКонтакте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«Ханты-Мансийск-онлайн» (в 2018 году – 200), более 1</w:t>
      </w:r>
      <w:r w:rsidRPr="0076687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300 подписчиков в «Одноклассниках» 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khantymansiyskonline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более 6</w:t>
      </w:r>
      <w:r w:rsidRPr="0076687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600 подписчиков на странице в «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Instagram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khanty_masiyskonline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Новости города публикуются в различных городских и окружных интернет-сообществах. Публикации Администрации города в социальных медиа собрали более 53</w:t>
      </w:r>
      <w:r w:rsidRPr="0076687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000 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лайков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почти 1</w:t>
      </w:r>
      <w:r w:rsidRPr="0076687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400 комментариев. Общий охват аудитории за 2019 год составил более 1</w:t>
      </w:r>
      <w:r w:rsidRPr="0076687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800</w:t>
      </w:r>
      <w:r w:rsidRPr="0076687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000 просмотров.</w:t>
      </w:r>
    </w:p>
    <w:p w:rsidR="0076687B" w:rsidRPr="0076687B" w:rsidRDefault="0076687B" w:rsidP="00E52F41">
      <w:pPr>
        <w:widowControl w:val="0"/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Новости, освещение событий в городе, дайджесты мероприятий, вовлечение горожан в жизнь Ханты-Мансийска и формирование активной гражданской позиции – всё это отражается в ежедневных публикациях. </w:t>
      </w: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городского информационного проекта «События недели Югры и Ханты-Мансийска «Информация, которой можно верить!», который реализуется уже второй год, приносит много положительных отзывов и предложений от организаций и предприятий города. </w:t>
      </w:r>
    </w:p>
    <w:p w:rsidR="0076687B" w:rsidRPr="0076687B" w:rsidRDefault="0076687B" w:rsidP="00E52F4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2019 году общественно-политическ</w:t>
      </w:r>
      <w:r w:rsidR="006369D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 </w:t>
      </w:r>
      <w:r w:rsidR="006369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-Ханты-Мансийск» стала полностью полноцветной, сохранился общий тираж издания – 10000 экземпляров еженедельно, увеличилось количество точек распространения до 80. </w:t>
      </w:r>
    </w:p>
    <w:p w:rsidR="0076687B" w:rsidRPr="0076687B" w:rsidRDefault="0076687B" w:rsidP="00E52F4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переходом Российской Федерации в 2019 году на цифровое вещание в настоящее время с целью прироста аудитории телевидения города Ханты-Мансийска, а также производства телевизионного продукта надлежащего стандарта и качества, осуществлен комплекс мероприятий по переводу телевизионного производства студии «Телевидение г. Ханты-Мансийска «Новая студия»» в формат HD. В 2019 году впервые силами и средствами городского телевидения была проведена прямая трансляция официальной части праздничной программы, посвященной Дню Победы, на мониторы с трех видеокамер и 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квадракоптера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онлайн.</w:t>
      </w:r>
    </w:p>
    <w:p w:rsidR="0076687B" w:rsidRPr="0076687B" w:rsidRDefault="0076687B" w:rsidP="00E52F4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Набирают популярность группы городских СМИ в социальных сетях («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» vk.com/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newshm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» instagram.com/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tele_hm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6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YouTube</w:t>
      </w: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-канал), а также созданный в прошлом году сайт городского информационного агентства «</w:t>
      </w:r>
      <w:r w:rsidRPr="00766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News</w:t>
      </w: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66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HM</w:t>
      </w: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6687B" w:rsidRPr="0076687B" w:rsidRDefault="0076687B" w:rsidP="00E52F4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полутора лет в городе реализуется проект «События недели Югры и Ханты-Мансийска «Информация, которой можно верить!». Рассылка новостей направляется в электронном формате с адреса admhmansy.ru в организации и ведомства, которые располагаются на территории города Ханты-Мансийска. </w:t>
      </w:r>
    </w:p>
    <w:p w:rsidR="0076687B" w:rsidRPr="0076687B" w:rsidRDefault="0076687B" w:rsidP="00E52F4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приносит много положительных отзывов и предложений. В 2019 году с целью увеличения охвата получателей новостей о городской жизни проведен 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редизайн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создана мобильная версия дайджеста, распространяемая с помощью мессенджеров, дополнена и обновлена база адресов, которая насчитывает более 165 организаций и предприятий различных форм собственности. Целевая аудитория рассылки насчитывает более 10</w:t>
      </w:r>
      <w:r w:rsidRPr="0076687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человек. </w:t>
      </w:r>
    </w:p>
    <w:p w:rsidR="00E84B80" w:rsidRPr="0013502F" w:rsidRDefault="00E84B80" w:rsidP="00E52F4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B80" w:rsidRDefault="00E84B80" w:rsidP="00E52F4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Меры, принимаемые для повышения качества предоставляемых населению муниципальных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населения.</w:t>
      </w:r>
    </w:p>
    <w:p w:rsidR="00254513" w:rsidRDefault="00254513" w:rsidP="00E52F4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8E5" w:rsidRPr="007268E5" w:rsidRDefault="007268E5" w:rsidP="00E52F41">
      <w:pPr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Ханты-Мансийске реализуются стратегические цели государственной политики в сфере информационных технологий: формирование современной информационно-коммуникационной инфраструктуры, повышение эффективности государственного и муниципального управления. </w:t>
      </w:r>
    </w:p>
    <w:p w:rsidR="007268E5" w:rsidRPr="007268E5" w:rsidRDefault="007268E5" w:rsidP="00E52F41">
      <w:pPr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7268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Важным фактором, содействующим развитию в городе </w:t>
      </w:r>
      <w:r w:rsidR="006369D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br/>
      </w:r>
      <w:r w:rsidRPr="007268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Ханты-Мансийске информационного общества, улучшения качества жизни и условий ведения предпринимательской деятельности является уровень распространения среди населения базовых навыков использования информационно-коммуникационных технологий</w:t>
      </w:r>
      <w:r w:rsidRPr="007268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26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68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Работа по обучению цифровым компетенциям граждан – это максимальный охват различных целевых и возрастных групп. </w:t>
      </w:r>
    </w:p>
    <w:p w:rsidR="007268E5" w:rsidRPr="007268E5" w:rsidRDefault="007268E5" w:rsidP="00E52F41">
      <w:pPr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7268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Для самых маленьких горожан, в детских садах проводятся занятия: робототехника и конструирование. В восьми школах города младшие школьники (2-3 классы) обучаются основам программирования по образовательной программе «</w:t>
      </w:r>
      <w:proofErr w:type="spellStart"/>
      <w:r w:rsidRPr="007268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Кодвардс</w:t>
      </w:r>
      <w:proofErr w:type="spellEnd"/>
      <w:r w:rsidRPr="007268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». Для подготовки старшеклассников по системе «Школа-вуз-Производство», в </w:t>
      </w:r>
      <w:r w:rsidRPr="007268E5">
        <w:rPr>
          <w:rFonts w:ascii="Times New Roman" w:eastAsia="Calibri" w:hAnsi="Times New Roman" w:cs="Times New Roman"/>
          <w:sz w:val="28"/>
          <w:szCs w:val="28"/>
          <w:lang w:eastAsia="ru-RU"/>
        </w:rPr>
        <w:t>2019</w:t>
      </w:r>
      <w:r w:rsidRPr="007268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году начал работать «Яндекс-Лицей». </w:t>
      </w:r>
    </w:p>
    <w:p w:rsidR="007268E5" w:rsidRPr="007268E5" w:rsidRDefault="007268E5" w:rsidP="00E52F41">
      <w:pPr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Проводи</w:t>
      </w:r>
      <w:r w:rsidRPr="007268E5">
        <w:rPr>
          <w:rFonts w:ascii="Times New Roman" w:eastAsia="Calibri" w:hAnsi="Times New Roman" w:cs="Times New Roman"/>
          <w:sz w:val="28"/>
          <w:szCs w:val="28"/>
          <w:lang w:eastAsia="ru-RU"/>
        </w:rPr>
        <w:t>лась</w:t>
      </w:r>
      <w:r w:rsidRPr="007268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масштабная работа по повышению квалификации сотрудников органов власти и учреждений</w:t>
      </w:r>
      <w:r w:rsidRPr="00726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сфере цифровых компетенций</w:t>
      </w:r>
      <w:r w:rsidRPr="007268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</w:p>
    <w:p w:rsidR="007268E5" w:rsidRPr="007268E5" w:rsidRDefault="007268E5" w:rsidP="00E52F41">
      <w:pPr>
        <w:widowControl w:val="0"/>
        <w:shd w:val="clear" w:color="auto" w:fill="FFFFFF"/>
        <w:tabs>
          <w:tab w:val="left" w:pos="567"/>
        </w:tabs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7268E5">
        <w:rPr>
          <w:rFonts w:ascii="Times New Roman" w:eastAsia="Calibri" w:hAnsi="Times New Roman" w:cs="Times New Roman"/>
          <w:sz w:val="28"/>
          <w:szCs w:val="28"/>
          <w:lang w:eastAsia="x-none"/>
        </w:rPr>
        <w:t>На</w:t>
      </w:r>
      <w:r w:rsidRPr="007268E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базе </w:t>
      </w:r>
      <w:r w:rsidRPr="007268E5">
        <w:rPr>
          <w:rFonts w:ascii="Times New Roman" w:eastAsia="Calibri" w:hAnsi="Times New Roman" w:cs="Times New Roman"/>
          <w:sz w:val="28"/>
          <w:szCs w:val="28"/>
          <w:lang w:eastAsia="x-none"/>
        </w:rPr>
        <w:t>МБУ</w:t>
      </w:r>
      <w:r w:rsidRPr="007268E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«Городская централизованная библиотечная система» обеспечена работа 4-х центров общественного доступа к информации, государственным и муниципальным услугам, предоставляемым в электронной форме.</w:t>
      </w:r>
    </w:p>
    <w:p w:rsidR="007268E5" w:rsidRPr="007268E5" w:rsidRDefault="007268E5" w:rsidP="00E52F41">
      <w:pPr>
        <w:widowControl w:val="0"/>
        <w:shd w:val="clear" w:color="auto" w:fill="FFFFFF"/>
        <w:tabs>
          <w:tab w:val="left" w:pos="567"/>
        </w:tabs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E5">
        <w:rPr>
          <w:rFonts w:ascii="Times New Roman" w:eastAsia="Calibri" w:hAnsi="Times New Roman" w:cs="Times New Roman"/>
          <w:sz w:val="28"/>
          <w:szCs w:val="28"/>
        </w:rPr>
        <w:t>В рамках программы «Электронный гражданин» 100 горожан обучились азам компьютерной грамотности, порядку получения услуг в электронной форме, навыкам внесения показаний приборов (счетчиков) за услуги ЖКХ, порядку их дистанционной оплаты, навыкам работы с другими полезными электронными сервисами и приложениями.</w:t>
      </w:r>
    </w:p>
    <w:p w:rsidR="007268E5" w:rsidRPr="007268E5" w:rsidRDefault="007268E5" w:rsidP="00E52F41">
      <w:pPr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E5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муниципальной программы города Ханты-Мансийска «Информационное общество» по итогам городского конкурса инициативного бюджетирования «Мы планируем бюджет вместе» и в рамках программы социальных инвестиций «Родные города» компании «Газпром нефть» прошли «Городские состязания среди граждан </w:t>
      </w:r>
      <w:proofErr w:type="spellStart"/>
      <w:r w:rsidRPr="007268E5">
        <w:rPr>
          <w:rFonts w:ascii="Times New Roman" w:eastAsia="Calibri" w:hAnsi="Times New Roman" w:cs="Times New Roman"/>
          <w:sz w:val="28"/>
          <w:szCs w:val="28"/>
        </w:rPr>
        <w:t>предпенсионного</w:t>
      </w:r>
      <w:proofErr w:type="spellEnd"/>
      <w:r w:rsidRPr="007268E5">
        <w:rPr>
          <w:rFonts w:ascii="Times New Roman" w:eastAsia="Calibri" w:hAnsi="Times New Roman" w:cs="Times New Roman"/>
          <w:sz w:val="28"/>
          <w:szCs w:val="28"/>
        </w:rPr>
        <w:t xml:space="preserve"> и пенсионного возраста по интернет-серфингу». </w:t>
      </w:r>
    </w:p>
    <w:p w:rsidR="007268E5" w:rsidRPr="007268E5" w:rsidRDefault="007268E5" w:rsidP="00E52F41">
      <w:pPr>
        <w:widowControl w:val="0"/>
        <w:tabs>
          <w:tab w:val="left" w:pos="567"/>
        </w:tabs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E5">
        <w:rPr>
          <w:rFonts w:ascii="Times New Roman" w:eastAsia="Calibri" w:hAnsi="Times New Roman" w:cs="Times New Roman"/>
          <w:sz w:val="28"/>
          <w:szCs w:val="28"/>
        </w:rPr>
        <w:t xml:space="preserve">С целью увеличения доли граждан, использующих механизм получения государственных и муниципальных услуг в электронной форме, в 2-х органах Администрации города Ханты-Мансийска действуют Центры обслуживания пользователей портала </w:t>
      </w:r>
      <w:proofErr w:type="spellStart"/>
      <w:r w:rsidRPr="007268E5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7268E5">
        <w:rPr>
          <w:rFonts w:ascii="Times New Roman" w:eastAsia="Calibri" w:hAnsi="Times New Roman" w:cs="Times New Roman"/>
          <w:sz w:val="28"/>
          <w:szCs w:val="28"/>
        </w:rPr>
        <w:t xml:space="preserve">, осуществляющие </w:t>
      </w:r>
      <w:r w:rsidRPr="007268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регистрацию пользователей на портале </w:t>
      </w:r>
      <w:proofErr w:type="spellStart"/>
      <w:r w:rsidRPr="007268E5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7268E5">
        <w:rPr>
          <w:rFonts w:ascii="Times New Roman" w:eastAsia="Calibri" w:hAnsi="Times New Roman" w:cs="Times New Roman"/>
          <w:sz w:val="28"/>
          <w:szCs w:val="28"/>
        </w:rPr>
        <w:t xml:space="preserve"> и подтверждение личности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Единой системе идентификации и </w:t>
      </w:r>
      <w:r w:rsidRPr="007268E5">
        <w:rPr>
          <w:rFonts w:ascii="Times New Roman" w:eastAsia="Calibri" w:hAnsi="Times New Roman" w:cs="Times New Roman"/>
          <w:sz w:val="28"/>
          <w:szCs w:val="28"/>
        </w:rPr>
        <w:t>аутентификации. В 2019 году в Центрах подтверждена учетная запись 138 пользователям. В автономном учреждении Ханты-Мансийского автономного округа – Югры «Многофункциональный центр предоставления государственных и муниципальных услуг Югры</w:t>
      </w:r>
      <w:r w:rsidR="006369D8">
        <w:rPr>
          <w:rFonts w:ascii="Times New Roman" w:eastAsia="Calibri" w:hAnsi="Times New Roman" w:cs="Times New Roman"/>
          <w:sz w:val="28"/>
          <w:szCs w:val="28"/>
        </w:rPr>
        <w:t>»</w:t>
      </w:r>
      <w:r w:rsidRPr="007268E5">
        <w:rPr>
          <w:rFonts w:ascii="Times New Roman" w:eastAsia="Calibri" w:hAnsi="Times New Roman" w:cs="Times New Roman"/>
          <w:sz w:val="28"/>
          <w:szCs w:val="28"/>
        </w:rPr>
        <w:t xml:space="preserve"> учетные записи подтверждены 3249 пользователям.</w:t>
      </w:r>
    </w:p>
    <w:p w:rsidR="007268E5" w:rsidRPr="007268E5" w:rsidRDefault="007268E5" w:rsidP="00E52F41">
      <w:pPr>
        <w:widowControl w:val="0"/>
        <w:shd w:val="clear" w:color="auto" w:fill="FFFFFF"/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68E5">
        <w:rPr>
          <w:rFonts w:ascii="Times New Roman" w:eastAsia="Calibri" w:hAnsi="Times New Roman" w:cs="Times New Roman"/>
          <w:color w:val="000000"/>
          <w:sz w:val="28"/>
          <w:szCs w:val="28"/>
        </w:rPr>
        <w:t>Ведется планомерная работа по увеличению количества услуг, предоставляемых в электронном виде на Едином портале государственных услуг.</w:t>
      </w:r>
    </w:p>
    <w:p w:rsidR="007268E5" w:rsidRPr="007268E5" w:rsidRDefault="007268E5" w:rsidP="00E52F41">
      <w:pPr>
        <w:tabs>
          <w:tab w:val="left" w:pos="567"/>
        </w:tabs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68E5">
        <w:rPr>
          <w:rFonts w:ascii="Times New Roman" w:eastAsia="Calibri" w:hAnsi="Times New Roman" w:cs="Times New Roman"/>
          <w:color w:val="000000"/>
          <w:sz w:val="28"/>
          <w:szCs w:val="28"/>
        </w:rPr>
        <w:t>Наиболее востребованы у горожан следующие услуги в электронном виде:</w:t>
      </w:r>
    </w:p>
    <w:p w:rsidR="007268E5" w:rsidRPr="006369D8" w:rsidRDefault="007268E5" w:rsidP="00E52F41">
      <w:pPr>
        <w:pStyle w:val="a3"/>
        <w:numPr>
          <w:ilvl w:val="0"/>
          <w:numId w:val="10"/>
        </w:numPr>
        <w:tabs>
          <w:tab w:val="left" w:pos="0"/>
          <w:tab w:val="left" w:pos="993"/>
        </w:tabs>
        <w:autoSpaceDN w:val="0"/>
        <w:spacing w:after="0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6369D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зачисление в образовательную организацию;</w:t>
      </w:r>
    </w:p>
    <w:p w:rsidR="007268E5" w:rsidRPr="006369D8" w:rsidRDefault="007268E5" w:rsidP="00E52F41">
      <w:pPr>
        <w:pStyle w:val="a3"/>
        <w:numPr>
          <w:ilvl w:val="0"/>
          <w:numId w:val="10"/>
        </w:numPr>
        <w:tabs>
          <w:tab w:val="left" w:pos="567"/>
          <w:tab w:val="left" w:pos="993"/>
        </w:tabs>
        <w:autoSpaceDN w:val="0"/>
        <w:spacing w:after="0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6369D8">
        <w:rPr>
          <w:rFonts w:ascii="Times New Roman" w:eastAsia="Calibri" w:hAnsi="Times New Roman" w:cs="Times New Roman"/>
          <w:sz w:val="28"/>
          <w:szCs w:val="28"/>
          <w:lang w:eastAsia="x-none"/>
        </w:rPr>
        <w:t>организация отдыха детей в каникулярное время в части принятия решений о предоставлении детям, проживающим и обучающимся в городе Ханты-Мансийске, путевок в организации,</w:t>
      </w:r>
      <w:r w:rsidRPr="006369D8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r w:rsidRPr="006369D8">
        <w:rPr>
          <w:rFonts w:ascii="Times New Roman" w:eastAsia="Calibri" w:hAnsi="Times New Roman" w:cs="Times New Roman"/>
          <w:sz w:val="28"/>
          <w:szCs w:val="28"/>
          <w:lang w:eastAsia="x-none"/>
        </w:rPr>
        <w:t>обеспечивающие отдых детей;</w:t>
      </w:r>
    </w:p>
    <w:p w:rsidR="007268E5" w:rsidRPr="006369D8" w:rsidRDefault="007268E5" w:rsidP="00E52F41">
      <w:pPr>
        <w:pStyle w:val="a3"/>
        <w:numPr>
          <w:ilvl w:val="0"/>
          <w:numId w:val="10"/>
        </w:numPr>
        <w:tabs>
          <w:tab w:val="left" w:pos="567"/>
          <w:tab w:val="left" w:pos="993"/>
        </w:tabs>
        <w:autoSpaceDN w:val="0"/>
        <w:spacing w:after="0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6369D8">
        <w:rPr>
          <w:rFonts w:ascii="Times New Roman" w:eastAsia="Calibri" w:hAnsi="Times New Roman" w:cs="Times New Roman"/>
          <w:sz w:val="28"/>
          <w:szCs w:val="28"/>
          <w:lang w:eastAsia="x-none"/>
        </w:rPr>
        <w:t>прием и выдача документов о государственной регистрации актов гражданского состояния рождения, заключения брака, расторжения брака, усыновления (удочерения), установления отцовства, перемены имени, смерти.</w:t>
      </w:r>
    </w:p>
    <w:p w:rsidR="007268E5" w:rsidRPr="007268E5" w:rsidRDefault="007268E5" w:rsidP="00E52F41">
      <w:pPr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68E5">
        <w:rPr>
          <w:rFonts w:ascii="Times New Roman" w:eastAsia="Calibri" w:hAnsi="Times New Roman" w:cs="Times New Roman"/>
          <w:color w:val="000000"/>
          <w:sz w:val="28"/>
          <w:szCs w:val="28"/>
        </w:rPr>
        <w:t>За 2019 год предоставлено в электронном виде 674 733 услуг</w:t>
      </w:r>
      <w:r w:rsidR="006369D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7268E5">
        <w:rPr>
          <w:rFonts w:ascii="Times New Roman" w:eastAsia="Calibri" w:hAnsi="Times New Roman" w:cs="Times New Roman"/>
          <w:color w:val="000000"/>
          <w:sz w:val="28"/>
          <w:szCs w:val="28"/>
        </w:rPr>
        <w:t>, в том числе 662 863 услуг</w:t>
      </w:r>
      <w:r w:rsidR="006369D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7268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предоставлению информации о текущей успеваемости учащегося. </w:t>
      </w:r>
    </w:p>
    <w:p w:rsidR="007268E5" w:rsidRPr="007268E5" w:rsidRDefault="007268E5" w:rsidP="00E52F41">
      <w:pPr>
        <w:tabs>
          <w:tab w:val="left" w:pos="567"/>
          <w:tab w:val="left" w:pos="851"/>
        </w:tabs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68E5">
        <w:rPr>
          <w:rFonts w:ascii="Times New Roman" w:eastAsia="Calibri" w:hAnsi="Times New Roman" w:cs="Times New Roman"/>
          <w:color w:val="000000"/>
          <w:sz w:val="28"/>
          <w:szCs w:val="28"/>
        </w:rPr>
        <w:t>В течени</w:t>
      </w:r>
      <w:r w:rsidRPr="007268E5">
        <w:rPr>
          <w:rFonts w:ascii="Times New Roman" w:eastAsia="Calibri" w:hAnsi="Times New Roman" w:cs="Times New Roman"/>
          <w:sz w:val="28"/>
          <w:szCs w:val="28"/>
          <w:lang w:eastAsia="ru-RU"/>
        </w:rPr>
        <w:t>е 2019 года проведен ряд мероприятий, направленных на повышение информированности граждан о преимуществах получения услуг в электронной форме. К числу таких мероприятий относятся:</w:t>
      </w:r>
    </w:p>
    <w:p w:rsidR="007268E5" w:rsidRPr="006369D8" w:rsidRDefault="007268E5" w:rsidP="00E52F41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993"/>
        </w:tabs>
        <w:autoSpaceDN w:val="0"/>
        <w:spacing w:after="0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6369D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проведение тематических родительских собраний в образовательных организациях города;</w:t>
      </w:r>
    </w:p>
    <w:p w:rsidR="007268E5" w:rsidRPr="006369D8" w:rsidRDefault="007268E5" w:rsidP="00E52F41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993"/>
        </w:tabs>
        <w:autoSpaceDN w:val="0"/>
        <w:spacing w:after="0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69D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размещение на стендах</w:t>
      </w:r>
      <w:r w:rsidRPr="00636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баннере, в общественном транспорте, </w:t>
      </w:r>
      <w:r w:rsidRPr="006369D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на Официальном информационном портале органов местного самоуправления города Ханты-Мансийска, официальных сайтах </w:t>
      </w:r>
      <w:r w:rsidRPr="00636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образовательных организаций </w:t>
      </w:r>
      <w:r w:rsidRPr="006369D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информаци</w:t>
      </w:r>
      <w:r w:rsidRPr="006369D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369D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о</w:t>
      </w:r>
      <w:r w:rsidR="0076687B" w:rsidRPr="00636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69D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регистрации на портале </w:t>
      </w:r>
      <w:proofErr w:type="spellStart"/>
      <w:r w:rsidRPr="006369D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госуслуг</w:t>
      </w:r>
      <w:proofErr w:type="spellEnd"/>
      <w:r w:rsidRPr="006369D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, а также видеороликов о возможности получения </w:t>
      </w:r>
      <w:proofErr w:type="spellStart"/>
      <w:r w:rsidRPr="006369D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госуслуг</w:t>
      </w:r>
      <w:proofErr w:type="spellEnd"/>
      <w:r w:rsidRPr="006369D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в электронной форме</w:t>
      </w:r>
      <w:r w:rsidRPr="006369D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268E5" w:rsidRPr="006369D8" w:rsidRDefault="007268E5" w:rsidP="00E52F41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993"/>
        </w:tabs>
        <w:autoSpaceDN w:val="0"/>
        <w:spacing w:after="0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69D8">
        <w:rPr>
          <w:rFonts w:ascii="Times New Roman" w:eastAsia="Calibri" w:hAnsi="Times New Roman" w:cs="Times New Roman"/>
          <w:sz w:val="28"/>
          <w:szCs w:val="28"/>
          <w:lang w:eastAsia="ru-RU"/>
        </w:rPr>
        <w:t>выступление на телевидении;</w:t>
      </w:r>
    </w:p>
    <w:p w:rsidR="007268E5" w:rsidRPr="006369D8" w:rsidRDefault="007268E5" w:rsidP="00E52F41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993"/>
        </w:tabs>
        <w:autoSpaceDN w:val="0"/>
        <w:spacing w:after="0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6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распространение буклетов с информацией о преимуществах получения услуг посредством Единого портала, также брелоков с символикой </w:t>
      </w:r>
      <w:proofErr w:type="spellStart"/>
      <w:r w:rsidRPr="006369D8">
        <w:rPr>
          <w:rFonts w:ascii="Times New Roman" w:eastAsia="Calibri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369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268E5" w:rsidRPr="007268E5" w:rsidRDefault="007268E5" w:rsidP="00E52F41">
      <w:pPr>
        <w:autoSpaceDN w:val="0"/>
        <w:spacing w:after="0"/>
        <w:ind w:right="-2"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6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удобства жителей города, с 2018 года в городе реализован проект по оплате начислений за посещение ребенком дошкольного образовательного </w:t>
      </w:r>
      <w:r w:rsidRPr="007268E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учреждения посредством портала </w:t>
      </w:r>
      <w:proofErr w:type="spellStart"/>
      <w:r w:rsidRPr="007268E5">
        <w:rPr>
          <w:rFonts w:ascii="Times New Roman" w:eastAsia="Calibri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726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2019 году ежемесячно через портал </w:t>
      </w:r>
      <w:proofErr w:type="spellStart"/>
      <w:r w:rsidRPr="007268E5">
        <w:rPr>
          <w:rFonts w:ascii="Times New Roman" w:eastAsia="Calibri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726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поступало около 1500 платежей на сумму более 4 миллионов рублей (20% от всех платежей).</w:t>
      </w:r>
    </w:p>
    <w:p w:rsidR="0076687B" w:rsidRPr="0076687B" w:rsidRDefault="0076687B" w:rsidP="00E52F41">
      <w:pPr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87B">
        <w:rPr>
          <w:rFonts w:ascii="Times New Roman" w:eastAsia="Calibri" w:hAnsi="Times New Roman" w:cs="Times New Roman"/>
          <w:sz w:val="28"/>
          <w:szCs w:val="28"/>
        </w:rPr>
        <w:t>Основной базой для проведения тренировочных занятий является муниципальное бюджетное учреждение «Спортивный комплекс «Дружба» (далее – спортивный комплекс) и  тренажерный зал «Лидер», где созданы все условия для удобства и безопасного нахождения данной категории горожан, начиная с удобных пандусов и заканчивая специальными туалетными комнатами.</w:t>
      </w:r>
    </w:p>
    <w:p w:rsidR="0076687B" w:rsidRPr="0076687B" w:rsidRDefault="0076687B" w:rsidP="00E52F41">
      <w:pPr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В спортивном комплексе ведет работу тренер по адаптивному спорту для лиц с ограниченными возможностями </w:t>
      </w:r>
      <w:proofErr w:type="spellStart"/>
      <w:r w:rsidRPr="0076687B">
        <w:rPr>
          <w:rFonts w:ascii="Times New Roman" w:eastAsia="Calibri" w:hAnsi="Times New Roman" w:cs="Times New Roman"/>
          <w:sz w:val="28"/>
          <w:szCs w:val="28"/>
        </w:rPr>
        <w:t>Машьянов</w:t>
      </w:r>
      <w:proofErr w:type="spellEnd"/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687B">
        <w:rPr>
          <w:rFonts w:ascii="Times New Roman" w:eastAsia="Calibri" w:hAnsi="Times New Roman" w:cs="Times New Roman"/>
          <w:sz w:val="28"/>
          <w:szCs w:val="28"/>
        </w:rPr>
        <w:t>Радимир</w:t>
      </w:r>
      <w:proofErr w:type="spellEnd"/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 Сергеевич. В настоящий момент ведется набор в группы лечебной физической культуры.</w:t>
      </w:r>
    </w:p>
    <w:p w:rsidR="0076687B" w:rsidRPr="0076687B" w:rsidRDefault="0076687B" w:rsidP="00E52F41">
      <w:pPr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На базе спортивного клуба «Олимпия» для данной категории населения организована секция по </w:t>
      </w:r>
      <w:proofErr w:type="spellStart"/>
      <w:r w:rsidRPr="0076687B">
        <w:rPr>
          <w:rFonts w:ascii="Times New Roman" w:eastAsia="Calibri" w:hAnsi="Times New Roman" w:cs="Times New Roman"/>
          <w:sz w:val="28"/>
          <w:szCs w:val="28"/>
        </w:rPr>
        <w:t>бочче</w:t>
      </w:r>
      <w:proofErr w:type="spellEnd"/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, тренер Фролов Алексей Николаевич. Общее количество занимающихся 7 человек в возрасте от 7 лет и старше. </w:t>
      </w:r>
    </w:p>
    <w:p w:rsidR="0076687B" w:rsidRPr="0076687B" w:rsidRDefault="0076687B" w:rsidP="00E52F41">
      <w:pPr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По состоянию на 31 декабря 2019 года численность занимающихся адаптивной физической культурой в городе составила 658 человек, в том числе: лица, имеющие инвалидность по общему заболеванию </w:t>
      </w:r>
      <w:r w:rsidR="006369D8" w:rsidRPr="0076687B">
        <w:rPr>
          <w:rFonts w:ascii="Times New Roman" w:eastAsia="Calibri" w:hAnsi="Times New Roman" w:cs="Times New Roman"/>
          <w:sz w:val="28"/>
          <w:szCs w:val="28"/>
        </w:rPr>
        <w:t>–</w:t>
      </w:r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 212 человек; лица с интеллектуальными нарушениями – 111 человек, лица с нарушением зрения </w:t>
      </w:r>
      <w:r w:rsidR="006369D8" w:rsidRPr="0076687B">
        <w:rPr>
          <w:rFonts w:ascii="Times New Roman" w:eastAsia="Calibri" w:hAnsi="Times New Roman" w:cs="Times New Roman"/>
          <w:sz w:val="28"/>
          <w:szCs w:val="28"/>
        </w:rPr>
        <w:t>–</w:t>
      </w:r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 50 человек, лица с нарушением слуха </w:t>
      </w:r>
      <w:r w:rsidR="006369D8" w:rsidRPr="0076687B">
        <w:rPr>
          <w:rFonts w:ascii="Times New Roman" w:eastAsia="Calibri" w:hAnsi="Times New Roman" w:cs="Times New Roman"/>
          <w:sz w:val="28"/>
          <w:szCs w:val="28"/>
        </w:rPr>
        <w:t>–</w:t>
      </w:r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 39 человек, лица с нарушением ОДА – 246 человек.</w:t>
      </w:r>
    </w:p>
    <w:p w:rsidR="0076687B" w:rsidRPr="0076687B" w:rsidRDefault="0076687B" w:rsidP="00E52F41">
      <w:pPr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87B">
        <w:rPr>
          <w:rFonts w:ascii="Times New Roman" w:eastAsia="Calibri" w:hAnsi="Times New Roman" w:cs="Times New Roman"/>
          <w:sz w:val="28"/>
          <w:szCs w:val="28"/>
        </w:rPr>
        <w:t>На базе муниципального бюджетного учреждения «Спортивный комплекс «Дружба» на этапах спортивной подготовки занимается 17 человек</w:t>
      </w:r>
      <w:r w:rsidR="006369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687B" w:rsidRPr="0076687B" w:rsidRDefault="0076687B" w:rsidP="00E52F41">
      <w:pPr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Согласно Единому календарному плану физкультурных и спортивных мероприятий в городе Ханты-Мансийске ежегодно муниципальным учреждением спорта проводятся различные спортивно-массовые мероприятия. Так, в 2019 году проведено более 30 мероприятий, в том числе </w:t>
      </w:r>
      <w:r w:rsidRPr="0076687B">
        <w:rPr>
          <w:rFonts w:ascii="Times New Roman" w:eastAsia="Calibri" w:hAnsi="Times New Roman" w:cs="Times New Roman"/>
          <w:sz w:val="28"/>
          <w:szCs w:val="28"/>
          <w:lang w:val="en-US"/>
        </w:rPr>
        <w:t>XXIII</w:t>
      </w:r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 городская Спартакиада среди инвалидов и лиц с ограниченными возможностями, </w:t>
      </w:r>
      <w:proofErr w:type="spellStart"/>
      <w:r w:rsidRPr="0076687B">
        <w:rPr>
          <w:rFonts w:ascii="Times New Roman" w:eastAsia="Calibri" w:hAnsi="Times New Roman" w:cs="Times New Roman"/>
          <w:sz w:val="28"/>
          <w:szCs w:val="28"/>
        </w:rPr>
        <w:t>Сурдспартакиада</w:t>
      </w:r>
      <w:proofErr w:type="spellEnd"/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76687B">
        <w:rPr>
          <w:rFonts w:ascii="Times New Roman" w:eastAsia="Calibri" w:hAnsi="Times New Roman" w:cs="Times New Roman"/>
          <w:sz w:val="28"/>
          <w:szCs w:val="28"/>
        </w:rPr>
        <w:t>Параспартакиада</w:t>
      </w:r>
      <w:proofErr w:type="spellEnd"/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 города Ханты-Мансийска, спортивно-массовые мероприятия, приуроченные празднованию Дня защитника Отечества, Международного женского дня 8 Марта, Международного дня инвалидов, Дня народного единства и др.</w:t>
      </w:r>
    </w:p>
    <w:p w:rsidR="0076687B" w:rsidRPr="0076687B" w:rsidRDefault="0076687B" w:rsidP="00E52F41">
      <w:pPr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87B">
        <w:rPr>
          <w:rFonts w:ascii="Times New Roman" w:eastAsia="Calibri" w:hAnsi="Times New Roman" w:cs="Times New Roman"/>
          <w:sz w:val="28"/>
          <w:szCs w:val="28"/>
        </w:rPr>
        <w:t>Ежегодно лица с ограниченными возможностями здоровья, инвалиды города Ханты-Мансийска принимают участие в окружных, всероссийских соревнованиях.</w:t>
      </w:r>
    </w:p>
    <w:p w:rsidR="00E52F41" w:rsidRPr="004826CD" w:rsidRDefault="0076687B" w:rsidP="00E52F4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687B">
        <w:rPr>
          <w:rFonts w:ascii="Times New Roman" w:eastAsia="Calibri" w:hAnsi="Times New Roman" w:cs="Times New Roman"/>
          <w:sz w:val="28"/>
          <w:szCs w:val="28"/>
        </w:rPr>
        <w:t>На сегодняшний день муниципальное образование городской округ город Ханты-Мансийск решает вопросы по обеспечению доступности новых спортивных объектов для данной категории населения, увеличения их количества и подбором кадрового состава.</w:t>
      </w:r>
    </w:p>
    <w:sectPr w:rsidR="00E52F41" w:rsidRPr="004826CD" w:rsidSect="00E52F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o UI">
    <w:altName w:val="Microsoft Tai Le"/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486"/>
    <w:multiLevelType w:val="hybridMultilevel"/>
    <w:tmpl w:val="8DB00C6A"/>
    <w:lvl w:ilvl="0" w:tplc="04AA4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20DFB"/>
    <w:multiLevelType w:val="hybridMultilevel"/>
    <w:tmpl w:val="0CD21EF0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F97546"/>
    <w:multiLevelType w:val="hybridMultilevel"/>
    <w:tmpl w:val="8B2E0FF8"/>
    <w:lvl w:ilvl="0" w:tplc="94449A86">
      <w:start w:val="1"/>
      <w:numFmt w:val="bullet"/>
      <w:lvlText w:val="–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37C01"/>
    <w:multiLevelType w:val="hybridMultilevel"/>
    <w:tmpl w:val="F3ACD8A8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1553F2"/>
    <w:multiLevelType w:val="hybridMultilevel"/>
    <w:tmpl w:val="59582092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255B27"/>
    <w:multiLevelType w:val="multilevel"/>
    <w:tmpl w:val="403E16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1233DD7"/>
    <w:multiLevelType w:val="hybridMultilevel"/>
    <w:tmpl w:val="388A5CE6"/>
    <w:lvl w:ilvl="0" w:tplc="4A2CE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047755"/>
    <w:multiLevelType w:val="hybridMultilevel"/>
    <w:tmpl w:val="7A0C9C6A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CC472D"/>
    <w:multiLevelType w:val="hybridMultilevel"/>
    <w:tmpl w:val="9EB6153A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7023F5"/>
    <w:multiLevelType w:val="hybridMultilevel"/>
    <w:tmpl w:val="3E269986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8D2B3E"/>
    <w:multiLevelType w:val="hybridMultilevel"/>
    <w:tmpl w:val="47806028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5732703"/>
    <w:multiLevelType w:val="hybridMultilevel"/>
    <w:tmpl w:val="9156F9A2"/>
    <w:lvl w:ilvl="0" w:tplc="94449A86">
      <w:start w:val="1"/>
      <w:numFmt w:val="bullet"/>
      <w:lvlText w:val="–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A18AB"/>
    <w:multiLevelType w:val="hybridMultilevel"/>
    <w:tmpl w:val="FDDC7C60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2463C6A"/>
    <w:multiLevelType w:val="hybridMultilevel"/>
    <w:tmpl w:val="E312EBDE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57E28A5"/>
    <w:multiLevelType w:val="hybridMultilevel"/>
    <w:tmpl w:val="1002618E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2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4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02"/>
    <w:rsid w:val="00003EFA"/>
    <w:rsid w:val="000060AA"/>
    <w:rsid w:val="00052D2B"/>
    <w:rsid w:val="00164CFE"/>
    <w:rsid w:val="001A52B9"/>
    <w:rsid w:val="001D538D"/>
    <w:rsid w:val="001F1DE7"/>
    <w:rsid w:val="00206527"/>
    <w:rsid w:val="00207D0D"/>
    <w:rsid w:val="002276F6"/>
    <w:rsid w:val="0023133D"/>
    <w:rsid w:val="00235D53"/>
    <w:rsid w:val="002360B6"/>
    <w:rsid w:val="002512BF"/>
    <w:rsid w:val="00254513"/>
    <w:rsid w:val="00270159"/>
    <w:rsid w:val="00270850"/>
    <w:rsid w:val="00270E71"/>
    <w:rsid w:val="002A4B52"/>
    <w:rsid w:val="002C415A"/>
    <w:rsid w:val="002D68D2"/>
    <w:rsid w:val="0036561E"/>
    <w:rsid w:val="00374C36"/>
    <w:rsid w:val="003B19BA"/>
    <w:rsid w:val="003B6C95"/>
    <w:rsid w:val="00404E3B"/>
    <w:rsid w:val="0045049C"/>
    <w:rsid w:val="00451F02"/>
    <w:rsid w:val="00460816"/>
    <w:rsid w:val="0047366A"/>
    <w:rsid w:val="00481B8A"/>
    <w:rsid w:val="004865AA"/>
    <w:rsid w:val="004B66E5"/>
    <w:rsid w:val="004D323E"/>
    <w:rsid w:val="004E32FA"/>
    <w:rsid w:val="0052150F"/>
    <w:rsid w:val="0052391C"/>
    <w:rsid w:val="005964E2"/>
    <w:rsid w:val="005A41DB"/>
    <w:rsid w:val="00611D90"/>
    <w:rsid w:val="0062732B"/>
    <w:rsid w:val="00633C4C"/>
    <w:rsid w:val="006369D8"/>
    <w:rsid w:val="006672F4"/>
    <w:rsid w:val="006A27D7"/>
    <w:rsid w:val="006E0B5A"/>
    <w:rsid w:val="006F6064"/>
    <w:rsid w:val="0070579B"/>
    <w:rsid w:val="007268E5"/>
    <w:rsid w:val="0076687B"/>
    <w:rsid w:val="00774201"/>
    <w:rsid w:val="00790116"/>
    <w:rsid w:val="007A3644"/>
    <w:rsid w:val="008053C5"/>
    <w:rsid w:val="00816F6E"/>
    <w:rsid w:val="008532C5"/>
    <w:rsid w:val="00876F99"/>
    <w:rsid w:val="00886D0D"/>
    <w:rsid w:val="008A3B36"/>
    <w:rsid w:val="008B6AC1"/>
    <w:rsid w:val="008C1A9F"/>
    <w:rsid w:val="008C207A"/>
    <w:rsid w:val="008F6534"/>
    <w:rsid w:val="0092462C"/>
    <w:rsid w:val="00941EF4"/>
    <w:rsid w:val="0099071C"/>
    <w:rsid w:val="00994D98"/>
    <w:rsid w:val="009B2DD8"/>
    <w:rsid w:val="009D4FDB"/>
    <w:rsid w:val="009E3492"/>
    <w:rsid w:val="009F7F40"/>
    <w:rsid w:val="00A20CAA"/>
    <w:rsid w:val="00A228C9"/>
    <w:rsid w:val="00A32D59"/>
    <w:rsid w:val="00A357A8"/>
    <w:rsid w:val="00A4227D"/>
    <w:rsid w:val="00A661A2"/>
    <w:rsid w:val="00A94A05"/>
    <w:rsid w:val="00A94CBF"/>
    <w:rsid w:val="00AD3954"/>
    <w:rsid w:val="00AE795F"/>
    <w:rsid w:val="00AF658A"/>
    <w:rsid w:val="00B07A48"/>
    <w:rsid w:val="00B55875"/>
    <w:rsid w:val="00B5785B"/>
    <w:rsid w:val="00BB47FA"/>
    <w:rsid w:val="00BE1396"/>
    <w:rsid w:val="00C06BFA"/>
    <w:rsid w:val="00C2565F"/>
    <w:rsid w:val="00C335B1"/>
    <w:rsid w:val="00C465F4"/>
    <w:rsid w:val="00C5549C"/>
    <w:rsid w:val="00C73B87"/>
    <w:rsid w:val="00C93B03"/>
    <w:rsid w:val="00CA5C7C"/>
    <w:rsid w:val="00CD330F"/>
    <w:rsid w:val="00CE162C"/>
    <w:rsid w:val="00CE2347"/>
    <w:rsid w:val="00D11ABC"/>
    <w:rsid w:val="00D24B55"/>
    <w:rsid w:val="00D42896"/>
    <w:rsid w:val="00D554CC"/>
    <w:rsid w:val="00D73923"/>
    <w:rsid w:val="00D73FCB"/>
    <w:rsid w:val="00D76CBF"/>
    <w:rsid w:val="00DE1752"/>
    <w:rsid w:val="00E060C0"/>
    <w:rsid w:val="00E27BFE"/>
    <w:rsid w:val="00E33E39"/>
    <w:rsid w:val="00E410FE"/>
    <w:rsid w:val="00E52F41"/>
    <w:rsid w:val="00E81615"/>
    <w:rsid w:val="00E81F9D"/>
    <w:rsid w:val="00E84B80"/>
    <w:rsid w:val="00EA47CE"/>
    <w:rsid w:val="00EB7702"/>
    <w:rsid w:val="00EE3823"/>
    <w:rsid w:val="00EE7E43"/>
    <w:rsid w:val="00EF6936"/>
    <w:rsid w:val="00F10984"/>
    <w:rsid w:val="00F17EAF"/>
    <w:rsid w:val="00F364D3"/>
    <w:rsid w:val="00F36CF1"/>
    <w:rsid w:val="00F97D2B"/>
    <w:rsid w:val="00FB1D9F"/>
    <w:rsid w:val="00FD7129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02"/>
  </w:style>
  <w:style w:type="paragraph" w:styleId="1">
    <w:name w:val="heading 1"/>
    <w:basedOn w:val="a"/>
    <w:next w:val="a"/>
    <w:link w:val="10"/>
    <w:uiPriority w:val="9"/>
    <w:qFormat/>
    <w:rsid w:val="00523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35B1"/>
    <w:pPr>
      <w:keepNext/>
      <w:keepLines/>
      <w:spacing w:before="200" w:after="0" w:line="259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"/>
    <w:basedOn w:val="a"/>
    <w:link w:val="a4"/>
    <w:uiPriority w:val="34"/>
    <w:qFormat/>
    <w:rsid w:val="00EB77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335B1"/>
    <w:rPr>
      <w:rFonts w:ascii="Times New Roman" w:eastAsiaTheme="majorEastAsia" w:hAnsi="Times New Roman" w:cstheme="majorBidi"/>
      <w:b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3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5B1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SL_Абзац списка Знак"/>
    <w:link w:val="a3"/>
    <w:uiPriority w:val="34"/>
    <w:locked/>
    <w:rsid w:val="00FF7C16"/>
  </w:style>
  <w:style w:type="character" w:customStyle="1" w:styleId="20">
    <w:name w:val="Заголовок 2 Знак"/>
    <w:basedOn w:val="a0"/>
    <w:link w:val="2"/>
    <w:uiPriority w:val="9"/>
    <w:semiHidden/>
    <w:rsid w:val="00231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link w:val="a8"/>
    <w:uiPriority w:val="1"/>
    <w:qFormat/>
    <w:rsid w:val="0023133D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3133D"/>
  </w:style>
  <w:style w:type="paragraph" w:customStyle="1" w:styleId="Style7">
    <w:name w:val="Style7"/>
    <w:basedOn w:val="a"/>
    <w:rsid w:val="00231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3133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uiPriority w:val="99"/>
    <w:rsid w:val="006E0B5A"/>
    <w:pPr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00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941E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02"/>
  </w:style>
  <w:style w:type="paragraph" w:styleId="1">
    <w:name w:val="heading 1"/>
    <w:basedOn w:val="a"/>
    <w:next w:val="a"/>
    <w:link w:val="10"/>
    <w:uiPriority w:val="9"/>
    <w:qFormat/>
    <w:rsid w:val="00523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35B1"/>
    <w:pPr>
      <w:keepNext/>
      <w:keepLines/>
      <w:spacing w:before="200" w:after="0" w:line="259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"/>
    <w:basedOn w:val="a"/>
    <w:link w:val="a4"/>
    <w:uiPriority w:val="34"/>
    <w:qFormat/>
    <w:rsid w:val="00EB77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335B1"/>
    <w:rPr>
      <w:rFonts w:ascii="Times New Roman" w:eastAsiaTheme="majorEastAsia" w:hAnsi="Times New Roman" w:cstheme="majorBidi"/>
      <w:b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3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5B1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SL_Абзац списка Знак"/>
    <w:link w:val="a3"/>
    <w:uiPriority w:val="34"/>
    <w:locked/>
    <w:rsid w:val="00FF7C16"/>
  </w:style>
  <w:style w:type="character" w:customStyle="1" w:styleId="20">
    <w:name w:val="Заголовок 2 Знак"/>
    <w:basedOn w:val="a0"/>
    <w:link w:val="2"/>
    <w:uiPriority w:val="9"/>
    <w:semiHidden/>
    <w:rsid w:val="00231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link w:val="a8"/>
    <w:uiPriority w:val="1"/>
    <w:qFormat/>
    <w:rsid w:val="0023133D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3133D"/>
  </w:style>
  <w:style w:type="paragraph" w:customStyle="1" w:styleId="Style7">
    <w:name w:val="Style7"/>
    <w:basedOn w:val="a"/>
    <w:rsid w:val="00231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3133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uiPriority w:val="99"/>
    <w:rsid w:val="006E0B5A"/>
    <w:pPr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00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941E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Показатели уровня жизни</a:t>
            </a:r>
            <a:r>
              <a:rPr lang="ru-RU" sz="1200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населения, руб.</a:t>
            </a:r>
            <a:endParaRPr lang="ru-RU" sz="12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8074604773240552"/>
          <c:y val="0"/>
        </c:manualLayout>
      </c:layout>
      <c:overlay val="0"/>
      <c:spPr>
        <a:noFill/>
        <a:ln w="2537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зарплата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</c:spPr>
          <c:invertIfNegative val="0"/>
          <c:dLbls>
            <c:spPr>
              <a:noFill/>
              <a:ln w="2537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Лист1!$B$2:$B$6</c:f>
              <c:numCache>
                <c:formatCode>0.0</c:formatCode>
                <c:ptCount val="5"/>
                <c:pt idx="0">
                  <c:v>67549.2</c:v>
                </c:pt>
                <c:pt idx="1">
                  <c:v>69294.100000000006</c:v>
                </c:pt>
                <c:pt idx="2">
                  <c:v>72067.5</c:v>
                </c:pt>
                <c:pt idx="3">
                  <c:v>78044.2</c:v>
                </c:pt>
                <c:pt idx="4">
                  <c:v>84653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DF-42C4-A913-C1BD7C8DD2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Среднемесячный размер пенсии</c:v>
                </c:pt>
              </c:strCache>
            </c:strRef>
          </c:tx>
          <c:spPr>
            <a:solidFill>
              <a:srgbClr val="D27D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</c:spPr>
          <c:invertIfNegative val="0"/>
          <c:dLbls>
            <c:dLbl>
              <c:idx val="0"/>
              <c:layout>
                <c:manualLayout>
                  <c:x val="-3.875968992248062E-3"/>
                  <c:y val="7.79727095516562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CDF-42C4-A913-C1BD7C8DD2C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139534883721285E-3"/>
                  <c:y val="3.898635477582845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CDF-42C4-A913-C1BD7C8DD2C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8139534883720929E-3"/>
                  <c:y val="7.79727095516569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CDF-42C4-A913-C1BD7C8DD2C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87596899224806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CDF-42C4-A913-C1BD7C8DD2C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813953488372235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21769,72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CDF-42C4-A913-C1BD7C8DD2C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" sourceLinked="0"/>
            <c:spPr>
              <a:noFill/>
              <a:ln w="25370">
                <a:noFill/>
              </a:ln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Лист1!$C$2:$C$6</c:f>
              <c:numCache>
                <c:formatCode>0.0</c:formatCode>
                <c:ptCount val="5"/>
                <c:pt idx="0">
                  <c:v>19605.900000000001</c:v>
                </c:pt>
                <c:pt idx="1">
                  <c:v>19970.400000000001</c:v>
                </c:pt>
                <c:pt idx="2">
                  <c:v>20658.900000000001</c:v>
                </c:pt>
                <c:pt idx="3" formatCode="#,##0.00">
                  <c:v>21125.55</c:v>
                </c:pt>
                <c:pt idx="4" formatCode="#,##0.00">
                  <c:v>22721.72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CDF-42C4-A913-C1BD7C8DD2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Среднедушевой доход</c:v>
                </c:pt>
              </c:strCache>
            </c:strRef>
          </c:tx>
          <c:spPr>
            <a:solidFill>
              <a:srgbClr val="008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</c:spPr>
          <c:invertIfNegative val="0"/>
          <c:dLbls>
            <c:dLbl>
              <c:idx val="0"/>
              <c:layout>
                <c:manualLayout>
                  <c:x val="-5.813953488372075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CDF-42C4-A913-C1BD7C8DD2C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937984496124102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CDF-42C4-A913-C1BD7C8DD2C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1.16959064327485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CDF-42C4-A913-C1BD7C8DD2C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211722129882782E-16"/>
                  <c:y val="-1.1695906432748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CDF-42C4-A913-C1BD7C8DD2C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4211722129882782E-16"/>
                  <c:y val="-1.559454191033145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CDF-42C4-A913-C1BD7C8DD2C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" sourceLinked="0"/>
            <c:spPr>
              <a:noFill/>
              <a:ln w="2537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Лист1!$D$2:$D$6</c:f>
              <c:numCache>
                <c:formatCode>0.0</c:formatCode>
                <c:ptCount val="5"/>
                <c:pt idx="0">
                  <c:v>47590.400000000001</c:v>
                </c:pt>
                <c:pt idx="1">
                  <c:v>47714.5</c:v>
                </c:pt>
                <c:pt idx="2">
                  <c:v>48200.4</c:v>
                </c:pt>
                <c:pt idx="3" formatCode="#,##0.00">
                  <c:v>49289.4</c:v>
                </c:pt>
                <c:pt idx="4" formatCode="#,##0.00">
                  <c:v>50275.21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6CDF-42C4-A913-C1BD7C8DD2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axId val="223669248"/>
        <c:axId val="224604928"/>
      </c:barChart>
      <c:catAx>
        <c:axId val="22366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68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4604928"/>
        <c:crosses val="autoZero"/>
        <c:auto val="1"/>
        <c:lblAlgn val="ctr"/>
        <c:lblOffset val="100"/>
        <c:noMultiLvlLbl val="0"/>
      </c:catAx>
      <c:valAx>
        <c:axId val="22460492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223669248"/>
        <c:crosses val="autoZero"/>
        <c:crossBetween val="between"/>
      </c:valAx>
      <c:spPr>
        <a:noFill/>
        <a:ln w="25370">
          <a:noFill/>
        </a:ln>
      </c:spPr>
    </c:plotArea>
    <c:legend>
      <c:legendPos val="b"/>
      <c:overlay val="0"/>
      <c:spPr>
        <a:noFill/>
        <a:ln w="2537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4BACC6"/>
            </a:solidFill>
            <a:ln w="25390">
              <a:noFill/>
            </a:ln>
          </c:spPr>
          <c:invertIfNegative val="0"/>
          <c:dLbls>
            <c:spPr>
              <a:noFill/>
              <a:ln w="2539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4BACC6"/>
            </a:solidFill>
            <a:ln w="25390">
              <a:noFill/>
            </a:ln>
          </c:spPr>
          <c:invertIfNegative val="0"/>
          <c:dLbls>
            <c:spPr>
              <a:noFill/>
              <a:ln w="2539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1566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4BACC6"/>
            </a:solidFill>
            <a:ln w="25390">
              <a:noFill/>
            </a:ln>
          </c:spPr>
          <c:invertIfNegative val="0"/>
          <c:dLbls>
            <c:spPr>
              <a:noFill/>
              <a:ln w="2539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2240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4BACC6"/>
            </a:solidFill>
            <a:ln w="25390">
              <a:noFill/>
            </a:ln>
          </c:spPr>
          <c:invertIfNegative val="0"/>
          <c:dLbls>
            <c:spPr>
              <a:noFill/>
              <a:ln w="2539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3019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4BACC6"/>
            </a:solidFill>
            <a:ln w="25390">
              <a:noFill/>
            </a:ln>
          </c:spPr>
          <c:invertIfNegative val="0"/>
          <c:dLbls>
            <c:spPr>
              <a:noFill/>
              <a:ln w="2539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6271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4BACC6"/>
            </a:solidFill>
            <a:ln w="25390">
              <a:noFill/>
            </a:ln>
          </c:spPr>
          <c:invertIfNegative val="0"/>
          <c:dLbls>
            <c:spPr>
              <a:noFill/>
              <a:ln w="2539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7444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4516352"/>
        <c:axId val="224722944"/>
      </c:barChart>
      <c:dateAx>
        <c:axId val="224516352"/>
        <c:scaling>
          <c:orientation val="minMax"/>
        </c:scaling>
        <c:delete val="0"/>
        <c:axPos val="b"/>
        <c:majorGridlines>
          <c:spPr>
            <a:ln w="952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1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0"/>
        <c:majorTickMark val="none"/>
        <c:minorTickMark val="none"/>
        <c:tickLblPos val="nextTo"/>
        <c:spPr>
          <a:noFill/>
          <a:ln w="952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solidFill>
                    <a:schemeClr val="accent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722944"/>
        <c:crosses val="autoZero"/>
        <c:auto val="0"/>
        <c:lblOffset val="100"/>
        <c:baseTimeUnit val="days"/>
      </c:dateAx>
      <c:valAx>
        <c:axId val="224722944"/>
        <c:scaling>
          <c:orientation val="minMax"/>
        </c:scaling>
        <c:delete val="1"/>
        <c:axPos val="r"/>
        <c:majorGridlines>
          <c:spPr>
            <a:ln w="952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224516352"/>
        <c:crosses val="max"/>
        <c:crossBetween val="between"/>
      </c:valAx>
      <c:spPr>
        <a:noFill/>
        <a:ln w="25390">
          <a:noFill/>
        </a:ln>
      </c:spPr>
    </c:plotArea>
    <c:legend>
      <c:legendPos val="b"/>
      <c:layout>
        <c:manualLayout>
          <c:xMode val="edge"/>
          <c:yMode val="edge"/>
          <c:x val="8.6386481286816488E-2"/>
          <c:y val="0.84900918635170597"/>
          <c:w val="0.80429494172170546"/>
          <c:h val="9.8185695538057782E-2"/>
        </c:manualLayout>
      </c:layout>
      <c:overlay val="0"/>
      <c:spPr>
        <a:noFill/>
        <a:ln w="2539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4EF18-E966-4FE5-B9EA-CA284F45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50</Pages>
  <Words>14036</Words>
  <Characters>80010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Малюгина Людмила Анатольевна</dc:creator>
  <cp:lastModifiedBy>Агаджиани Олеся Викторовна</cp:lastModifiedBy>
  <cp:revision>23</cp:revision>
  <cp:lastPrinted>2020-04-30T14:09:00Z</cp:lastPrinted>
  <dcterms:created xsi:type="dcterms:W3CDTF">2020-04-27T05:45:00Z</dcterms:created>
  <dcterms:modified xsi:type="dcterms:W3CDTF">2020-04-30T14:18:00Z</dcterms:modified>
</cp:coreProperties>
</file>