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footer1.xml" ContentType="application/vnd.openxmlformats-officedocument.wordprocessingml.footer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35" w:rsidRPr="00FE0342" w:rsidRDefault="00EB4435" w:rsidP="00A367AC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354487729"/>
      <w:bookmarkStart w:id="1" w:name="_Toc385846342"/>
      <w:r w:rsidRPr="00FE0342"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</w:t>
      </w:r>
    </w:p>
    <w:p w:rsidR="00EB4435" w:rsidRPr="00FE0342" w:rsidRDefault="00EB4435" w:rsidP="00A367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42">
        <w:rPr>
          <w:rFonts w:ascii="Times New Roman" w:hAnsi="Times New Roman" w:cs="Times New Roman"/>
          <w:b/>
          <w:sz w:val="28"/>
          <w:szCs w:val="28"/>
        </w:rPr>
        <w:t>Главы Администрации городского округа</w:t>
      </w:r>
    </w:p>
    <w:p w:rsidR="00EB4435" w:rsidRPr="00FE0342" w:rsidRDefault="00EB4435" w:rsidP="00A367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42">
        <w:rPr>
          <w:rFonts w:ascii="Times New Roman" w:hAnsi="Times New Roman" w:cs="Times New Roman"/>
          <w:b/>
          <w:sz w:val="28"/>
          <w:szCs w:val="28"/>
        </w:rPr>
        <w:t xml:space="preserve">город Ханты-Мансийск о достигнутых значениях показателей </w:t>
      </w:r>
      <w:proofErr w:type="gramStart"/>
      <w:r w:rsidRPr="00FE034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EB4435" w:rsidRPr="00FE0342" w:rsidRDefault="00EB4435" w:rsidP="00A367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42">
        <w:rPr>
          <w:rFonts w:ascii="Times New Roman" w:hAnsi="Times New Roman" w:cs="Times New Roman"/>
          <w:b/>
          <w:sz w:val="28"/>
          <w:szCs w:val="28"/>
        </w:rPr>
        <w:t>оценки эффективности деятельности органов местного самоуправления за 201</w:t>
      </w:r>
      <w:r w:rsidR="001B066B" w:rsidRPr="00FE0342">
        <w:rPr>
          <w:rFonts w:ascii="Times New Roman" w:hAnsi="Times New Roman" w:cs="Times New Roman"/>
          <w:b/>
          <w:sz w:val="28"/>
          <w:szCs w:val="28"/>
        </w:rPr>
        <w:t>5</w:t>
      </w:r>
      <w:r w:rsidRPr="00FE0342">
        <w:rPr>
          <w:rFonts w:ascii="Times New Roman" w:hAnsi="Times New Roman" w:cs="Times New Roman"/>
          <w:b/>
          <w:sz w:val="28"/>
          <w:szCs w:val="28"/>
        </w:rPr>
        <w:t xml:space="preserve"> год и их планируемых значениях на 3-летний период</w:t>
      </w:r>
    </w:p>
    <w:p w:rsidR="00EB4435" w:rsidRPr="00FE0342" w:rsidRDefault="00EB4435" w:rsidP="00A367AC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EB4435" w:rsidRPr="00FC133B" w:rsidRDefault="00EB4435" w:rsidP="00A367AC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x-none"/>
        </w:rPr>
      </w:pPr>
    </w:p>
    <w:p w:rsidR="001D38A9" w:rsidRDefault="001D38A9" w:rsidP="00A367AC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bookmarkStart w:id="2" w:name="_Toc416735660"/>
      <w:r w:rsidRPr="007973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x-none"/>
        </w:rPr>
        <w:t>I</w:t>
      </w:r>
      <w:r w:rsidRPr="0079738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</w:t>
      </w:r>
      <w:r w:rsidRPr="0079738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ab/>
        <w:t xml:space="preserve">Основные </w:t>
      </w:r>
      <w:r w:rsidR="0079738C" w:rsidRPr="0079738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итоги социально-экономического развития</w:t>
      </w:r>
      <w:r w:rsidRPr="0079738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города Ханты-Мансийска за 201</w:t>
      </w:r>
      <w:r w:rsidR="0079738C" w:rsidRPr="0079738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79738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</w:t>
      </w:r>
      <w:bookmarkEnd w:id="2"/>
    </w:p>
    <w:p w:rsidR="0079738C" w:rsidRPr="0079738C" w:rsidRDefault="0079738C" w:rsidP="00A367AC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D38A9" w:rsidRPr="0079738C" w:rsidRDefault="0079738C" w:rsidP="00A36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7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 социально-экономического положения города Ханты-Мансийска                      в 2015 году свидетельствуют в целом о сохранении текущей финансовой, экономической и социальной стабильности, развитии инвестиционных условий для малого и среднего предпринимательства.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7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D38A9" w:rsidRPr="00797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итогам </w:t>
      </w:r>
      <w:r w:rsidRPr="00797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2015 </w:t>
      </w:r>
      <w:r w:rsidR="001D38A9" w:rsidRPr="00797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достигнуты следующие основные результаты показателей социально-экономического развития (по сравнению с 201</w:t>
      </w:r>
      <w:r w:rsidRPr="00797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D38A9" w:rsidRPr="00797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годом): </w:t>
      </w:r>
    </w:p>
    <w:p w:rsidR="001D38A9" w:rsidRPr="0048418E" w:rsidRDefault="001D38A9" w:rsidP="00A36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4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инвестиций в основной капитал по всем отраслям экономики увеличился на </w:t>
      </w:r>
      <w:r w:rsidR="00993AC0" w:rsidRPr="00484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2,7</w:t>
      </w:r>
      <w:r w:rsidRPr="00484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</w:p>
    <w:p w:rsidR="001D38A9" w:rsidRPr="0048418E" w:rsidRDefault="001D38A9" w:rsidP="00A36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4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оборот розничной торговли увеличился на </w:t>
      </w:r>
      <w:r w:rsidR="0048418E" w:rsidRPr="00484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5,8</w:t>
      </w:r>
      <w:r w:rsidRPr="00484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%; </w:t>
      </w:r>
    </w:p>
    <w:p w:rsidR="001D38A9" w:rsidRPr="0048418E" w:rsidRDefault="001D38A9" w:rsidP="00A36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4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платных услуг увеличился на </w:t>
      </w:r>
      <w:r w:rsidR="0048418E" w:rsidRPr="00484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6,4</w:t>
      </w:r>
      <w:r w:rsidRPr="00484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</w:p>
    <w:p w:rsidR="001D38A9" w:rsidRPr="0048418E" w:rsidRDefault="001D38A9" w:rsidP="00A36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4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среднемесячная заработная плата работников по городу выросла на </w:t>
      </w:r>
      <w:r w:rsidR="0048418E" w:rsidRPr="00484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1,0</w:t>
      </w:r>
      <w:r w:rsidRPr="00484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</w:p>
    <w:p w:rsidR="001D38A9" w:rsidRPr="0048418E" w:rsidRDefault="001D38A9" w:rsidP="00A36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4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среднедушевые денежные доходы населения выросли на </w:t>
      </w:r>
      <w:r w:rsidR="0048418E" w:rsidRPr="00484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1,6</w:t>
      </w:r>
      <w:r w:rsidRPr="00484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%.</w:t>
      </w:r>
    </w:p>
    <w:p w:rsidR="0048418E" w:rsidRPr="00B168AE" w:rsidRDefault="00E57359" w:rsidP="00A36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418E" w:rsidRPr="00B16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промышленного производства снизился  на 12,3%;</w:t>
      </w:r>
    </w:p>
    <w:p w:rsidR="001D38A9" w:rsidRPr="000B0140" w:rsidRDefault="001D38A9" w:rsidP="00A36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Среднегодовая численность населения увеличилась на </w:t>
      </w:r>
      <w:r w:rsidR="000F4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1,8</w:t>
      </w:r>
      <w:r w:rsidRPr="00B16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численность экономически активного </w:t>
      </w:r>
      <w:r w:rsidRPr="000B0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населения увеличилась на 2%</w:t>
      </w:r>
      <w:r w:rsidR="000B0140" w:rsidRPr="000B0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B0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безработицы составил 0,</w:t>
      </w:r>
      <w:r w:rsidR="000B0140" w:rsidRPr="000B0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Pr="000B0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%.</w:t>
      </w:r>
    </w:p>
    <w:p w:rsidR="001D38A9" w:rsidRPr="00FC133B" w:rsidRDefault="001D38A9" w:rsidP="00A36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D38A9" w:rsidRPr="0030254B" w:rsidRDefault="001D38A9" w:rsidP="00A367AC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Демографическая ситуация</w:t>
      </w:r>
    </w:p>
    <w:p w:rsidR="00C51049" w:rsidRDefault="00C51049" w:rsidP="0030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54B" w:rsidRPr="0030254B" w:rsidRDefault="0030254B" w:rsidP="0030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Ханты-Мансийск входит в пятерку самых крупных по численности населения муниципальных образований Ханты-Мансийского автономного               округа - Югры. Среднегодовая численность населения города за 2015 год составила 96</w:t>
      </w:r>
      <w:r w:rsidR="000F4A28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30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увеличившись по сравнению с 2014 годом на </w:t>
      </w:r>
      <w:r w:rsidR="000F4A28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30254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(2014 год - 94423 чел.), увеличение численности населения происходит за счет естественного и миграционного прироста.</w:t>
      </w:r>
    </w:p>
    <w:p w:rsidR="0030254B" w:rsidRPr="0030254B" w:rsidRDefault="0030254B" w:rsidP="0030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демографических процессов на протяжении последних лет характеризуется тенденцией устойчивого роста</w:t>
      </w:r>
      <w:r w:rsidR="008A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1)</w:t>
      </w:r>
      <w:r w:rsidRPr="0030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54B" w:rsidRDefault="0030254B" w:rsidP="0030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естественный прирост населения города складывается за счет сочетания относ</w:t>
      </w:r>
      <w:r w:rsidR="00C4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 высокой рождаемости - 1796 чел. (2014 год - 1</w:t>
      </w:r>
      <w:r w:rsidRPr="0030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739 чел.) и сравнительно низкой смертности - 560 чел. (2014 год - 529 чел.). В </w:t>
      </w:r>
      <w:proofErr w:type="gramStart"/>
      <w:r w:rsidRPr="00302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Pr="0030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превышения рождаемости над смертностью более чем в три раза естественный прирост н</w:t>
      </w:r>
      <w:r w:rsidR="00C4526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аселения в 2015 году составил 1</w:t>
      </w:r>
      <w:r w:rsidRPr="0030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236 чел., что на 2,1% больше                          </w:t>
      </w:r>
      <w:r w:rsidR="00C452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2014 году (1</w:t>
      </w:r>
      <w:r w:rsidRPr="0030254B">
        <w:rPr>
          <w:rFonts w:ascii="Times New Roman" w:eastAsia="Times New Roman" w:hAnsi="Times New Roman" w:cs="Times New Roman"/>
          <w:sz w:val="28"/>
          <w:szCs w:val="28"/>
          <w:lang w:eastAsia="ru-RU"/>
        </w:rPr>
        <w:t>210 чел.).</w:t>
      </w:r>
    </w:p>
    <w:p w:rsidR="0030254B" w:rsidRDefault="0030254B" w:rsidP="0030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9E5" w:rsidRPr="0030254B" w:rsidRDefault="008A49E5" w:rsidP="0030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54B" w:rsidRPr="0030254B" w:rsidRDefault="0030254B" w:rsidP="0030254B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Рис. 1</w:t>
      </w:r>
    </w:p>
    <w:p w:rsidR="0030254B" w:rsidRPr="0030254B" w:rsidRDefault="0030254B" w:rsidP="003025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демографической численности, чел</w:t>
      </w:r>
    </w:p>
    <w:p w:rsidR="0030254B" w:rsidRPr="0030254B" w:rsidRDefault="0030254B" w:rsidP="0030254B">
      <w:pPr>
        <w:widowControl w:val="0"/>
        <w:spacing w:after="0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58B48ED" wp14:editId="4B796CFC">
            <wp:extent cx="5695950" cy="24860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254B" w:rsidRPr="0030254B" w:rsidRDefault="0030254B" w:rsidP="0030254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54B" w:rsidRPr="0030254B" w:rsidRDefault="0030254B" w:rsidP="0030254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Миграционный прирост нас</w:t>
      </w:r>
      <w:r w:rsidR="00C452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за 2015 год составил 1</w:t>
      </w:r>
      <w:r w:rsidRPr="0030254B">
        <w:rPr>
          <w:rFonts w:ascii="Times New Roman" w:eastAsia="Times New Roman" w:hAnsi="Times New Roman" w:cs="Times New Roman"/>
          <w:sz w:val="28"/>
          <w:szCs w:val="28"/>
          <w:lang w:eastAsia="ru-RU"/>
        </w:rPr>
        <w:t>261 чел.                      В отличие от предыдущих лет он сформировался в основном за счет перемещения                          в пределах Российской Федерации (Тюменская область, Курганская область, Свердловская область) и в меньшей мере международной миграции (страны СНГ).</w:t>
      </w:r>
    </w:p>
    <w:p w:rsidR="00C51049" w:rsidRPr="00FC133B" w:rsidRDefault="00C51049" w:rsidP="00A36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D38A9" w:rsidRPr="00E21BB8" w:rsidRDefault="001D38A9" w:rsidP="00A367AC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Промышленность</w:t>
      </w:r>
    </w:p>
    <w:p w:rsidR="00E21BB8" w:rsidRPr="00E21BB8" w:rsidRDefault="00E21BB8" w:rsidP="00E21B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промышленной продукции по крупным и средним предприятия</w:t>
      </w:r>
      <w:r w:rsidR="00C45265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города за 2015 год составил 9</w:t>
      </w: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>113,9 млн</w:t>
      </w:r>
      <w:r w:rsidR="0013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87,7% к 2014 году                        </w:t>
      </w:r>
      <w:r w:rsidR="00C45265">
        <w:rPr>
          <w:rFonts w:ascii="Times New Roman" w:eastAsia="Times New Roman" w:hAnsi="Times New Roman" w:cs="Times New Roman"/>
          <w:sz w:val="28"/>
          <w:szCs w:val="28"/>
          <w:lang w:eastAsia="ru-RU"/>
        </w:rPr>
        <w:t>(10</w:t>
      </w: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>395,7 млн</w:t>
      </w:r>
      <w:r w:rsidR="0013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рублей). Исключение из </w:t>
      </w:r>
      <w:proofErr w:type="spellStart"/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статотчетности</w:t>
      </w:r>
      <w:proofErr w:type="spellEnd"/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сведений                                по территориально-обособленным предприятиям, осуществляющим деятельность в сфере обработки древесины и производства изделий из дерева, которые отнесены по фактическому месту производства продукции (город Советский, город </w:t>
      </w:r>
      <w:proofErr w:type="spellStart"/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proofErr w:type="spellEnd"/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повлияло на уменьшение объема производства.</w:t>
      </w:r>
    </w:p>
    <w:p w:rsidR="00E21BB8" w:rsidRPr="00E21BB8" w:rsidRDefault="00E21BB8" w:rsidP="00E21B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Промышленная продукция представлена четырьмя разделами экономической классификации основных отраслей деятельности</w:t>
      </w:r>
      <w:r w:rsidR="008A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2)</w:t>
      </w: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21BB8" w:rsidRPr="00E21BB8" w:rsidRDefault="00E21BB8" w:rsidP="00E21B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 распределение электроэнергии, газа и воды;</w:t>
      </w:r>
    </w:p>
    <w:p w:rsidR="00E21BB8" w:rsidRPr="00E21BB8" w:rsidRDefault="00E21BB8" w:rsidP="00E21B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производства;</w:t>
      </w:r>
    </w:p>
    <w:p w:rsidR="00E21BB8" w:rsidRPr="00E21BB8" w:rsidRDefault="00E21BB8" w:rsidP="00E21B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рыболовство, рыбоводство;</w:t>
      </w:r>
    </w:p>
    <w:p w:rsidR="00E21BB8" w:rsidRPr="00E21BB8" w:rsidRDefault="00E21BB8" w:rsidP="00E21B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прочих услуг.</w:t>
      </w:r>
    </w:p>
    <w:p w:rsidR="008A49E5" w:rsidRPr="008A49E5" w:rsidRDefault="008A49E5" w:rsidP="008A49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в промышленном производстве занимают предприятия по производству, передаче и распределению электроэнергии, газа и воды - 93,1% (2014 год - 77,2%). </w:t>
      </w:r>
    </w:p>
    <w:p w:rsidR="00E21BB8" w:rsidRDefault="008A49E5" w:rsidP="008A49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производства за 2015 год по виду экономической деятельности «Производство и распределение электроэнергии газа и воды» составили                    8497,9 млн. рублей, или 105,0% к 2014 году (8090,7 млн. рублей).</w:t>
      </w:r>
    </w:p>
    <w:p w:rsidR="00C51049" w:rsidRDefault="00C51049" w:rsidP="00E21B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049" w:rsidRDefault="00C51049" w:rsidP="00E21B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049" w:rsidRDefault="00C51049" w:rsidP="00E21B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BB8" w:rsidRDefault="00E21BB8" w:rsidP="00677B3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Рис.2</w:t>
      </w:r>
    </w:p>
    <w:p w:rsidR="00E21BB8" w:rsidRPr="00E21BB8" w:rsidRDefault="00E21BB8" w:rsidP="00E21B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3D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0C56E4EE" wp14:editId="7C9928B8">
            <wp:extent cx="5660975" cy="2728569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1049" w:rsidRDefault="00C51049" w:rsidP="00E21B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BB8" w:rsidRPr="00E21BB8" w:rsidRDefault="00E21BB8" w:rsidP="00E21B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по величине доля от всего объема промышленного производства приходится на предприятия обрабатывающей отрасли - 5,6% (2014 год - 21,6%). </w:t>
      </w:r>
    </w:p>
    <w:p w:rsidR="00E21BB8" w:rsidRPr="00E21BB8" w:rsidRDefault="00E21BB8" w:rsidP="00E21B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 включают: производство пищевых продуктов; целлюлозно-бумажное производство; издательская и полиграфическая деятельность; производство прочих неметаллических минеральных продуктов (производство бетона, плитки тротуарной и кирпича); текстильное и швейное производство (ремонт и пошив изделий по индивидуальным заказам, оказание услуг по ремонту бытовой техники). Объем отгруженных товаров, выполненных работ и услуг в этой сфере за 2015 год составил 501,1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22,9%                    к 2014 году (2 184,6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рублей).</w:t>
      </w:r>
    </w:p>
    <w:p w:rsidR="00E21BB8" w:rsidRPr="00E21BB8" w:rsidRDefault="00E21BB8" w:rsidP="00E21B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предприятий по виду деятельности «Рыболовство, рыбоводство»                         за 2015 год составила 1,1% (2014 год - 0,3%). Объемы производства и оказанных услуг составили 96,5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286% к 2014 году (33,7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рублей). Представителем отрасли «Рыболовство, рыбоводство» среди крупных и средних предприятий является ОАО «Рыбокомбинат «Ханты-Мансийский», доля которого в общем объеме промышленного производства за 2015 год составила 0,3% </w:t>
      </w:r>
      <w:r w:rsidR="00C45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(2014 год - 0,2%). Объемы производства и оказанных услуг составили </w:t>
      </w:r>
      <w:r w:rsidR="00C45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>30,8 млн</w:t>
      </w:r>
      <w:r w:rsidR="004A3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140,0% к 2014 году (22,0 </w:t>
      </w:r>
      <w:proofErr w:type="gramStart"/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рублей).</w:t>
      </w:r>
    </w:p>
    <w:p w:rsidR="001D38A9" w:rsidRPr="00FC133B" w:rsidRDefault="00E21BB8" w:rsidP="00E21B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Вылов рыбы увеличился на 29,4% и составил 549,4 тонны (2014 год -                424,5 тонны), произведено 1008,9 тонны </w:t>
      </w:r>
      <w:proofErr w:type="spellStart"/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рыбопродукции</w:t>
      </w:r>
      <w:proofErr w:type="spellEnd"/>
      <w:r w:rsidRPr="00E21BB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превышает показатели аналогичного периода 2014 года на 32,0%.</w:t>
      </w:r>
    </w:p>
    <w:p w:rsidR="001D38A9" w:rsidRPr="00FC133B" w:rsidRDefault="001D38A9" w:rsidP="00A367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D38A9" w:rsidRPr="00C51049" w:rsidRDefault="001D38A9" w:rsidP="00A367AC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Инвестиции</w:t>
      </w:r>
    </w:p>
    <w:p w:rsidR="00C51049" w:rsidRPr="00C51049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1049">
        <w:rPr>
          <w:rFonts w:ascii="Times New Roman" w:eastAsia="Calibri" w:hAnsi="Times New Roman" w:cs="Times New Roman"/>
          <w:sz w:val="28"/>
          <w:szCs w:val="20"/>
          <w:lang w:eastAsia="ru-RU"/>
        </w:rPr>
        <w:t>Объем инвестиций в основной капитал по всем отраслям экономики города в 2015 году составил 25724,4 млн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  <w:r w:rsidRPr="00C5104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рублей, или 102,7% к 2014 году                          (25049,3 млн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  <w:r w:rsidRPr="00C5104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рублей). </w:t>
      </w:r>
    </w:p>
    <w:p w:rsidR="00C51049" w:rsidRPr="00C51049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1049">
        <w:rPr>
          <w:rFonts w:ascii="Times New Roman" w:eastAsia="Calibri" w:hAnsi="Times New Roman" w:cs="Times New Roman"/>
          <w:sz w:val="28"/>
          <w:szCs w:val="20"/>
          <w:lang w:eastAsia="ru-RU"/>
        </w:rPr>
        <w:t>Основную долю в структуре инвестиций по источникам финансирования занимают привлеченные средства - 60,9% или 15666,2 млн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  <w:r w:rsidRPr="00C5104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рублей (2014 год - 74,6% или 18686,8 млн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  <w:r w:rsidRPr="00C5104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рублей). </w:t>
      </w:r>
    </w:p>
    <w:p w:rsidR="00C51049" w:rsidRPr="00C51049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1049">
        <w:rPr>
          <w:rFonts w:ascii="Times New Roman" w:eastAsia="Calibri" w:hAnsi="Times New Roman" w:cs="Times New Roman"/>
          <w:sz w:val="28"/>
          <w:szCs w:val="20"/>
          <w:lang w:eastAsia="ru-RU"/>
        </w:rPr>
        <w:t>Собственные средства предприятий - 39,1% или 10058,2 млн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  <w:r w:rsidRPr="00C5104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рублей              </w:t>
      </w:r>
      <w:r w:rsidRPr="00C51049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(2014 год - 25,4% или 6362,5 млн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  <w:r w:rsidRPr="00C5104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рублей).</w:t>
      </w:r>
    </w:p>
    <w:p w:rsidR="00C51049" w:rsidRPr="00C51049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1049">
        <w:rPr>
          <w:rFonts w:ascii="Times New Roman" w:eastAsia="Calibri" w:hAnsi="Times New Roman" w:cs="Times New Roman"/>
          <w:sz w:val="28"/>
          <w:szCs w:val="20"/>
          <w:lang w:eastAsia="ru-RU"/>
        </w:rPr>
        <w:t>По функциональному назначению инвестиции в основной капитал направлены:</w:t>
      </w:r>
    </w:p>
    <w:p w:rsidR="00C51049" w:rsidRPr="00C51049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1049">
        <w:rPr>
          <w:rFonts w:ascii="Times New Roman" w:eastAsia="Calibri" w:hAnsi="Times New Roman" w:cs="Times New Roman"/>
          <w:sz w:val="28"/>
          <w:szCs w:val="20"/>
          <w:lang w:eastAsia="ru-RU"/>
        </w:rPr>
        <w:t>строительство жилья - 31,4% (2014 год - 24,7%);</w:t>
      </w:r>
    </w:p>
    <w:p w:rsidR="00C51049" w:rsidRPr="00C51049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1049">
        <w:rPr>
          <w:rFonts w:ascii="Times New Roman" w:eastAsia="Calibri" w:hAnsi="Times New Roman" w:cs="Times New Roman"/>
          <w:sz w:val="28"/>
          <w:szCs w:val="20"/>
          <w:lang w:eastAsia="ru-RU"/>
        </w:rPr>
        <w:t>строительство зданий и сооружений - 38,5% (2014 год - 38,9%);</w:t>
      </w:r>
    </w:p>
    <w:p w:rsidR="00C51049" w:rsidRPr="00C51049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1049">
        <w:rPr>
          <w:rFonts w:ascii="Times New Roman" w:eastAsia="Calibri" w:hAnsi="Times New Roman" w:cs="Times New Roman"/>
          <w:sz w:val="28"/>
          <w:szCs w:val="20"/>
          <w:lang w:eastAsia="ru-RU"/>
        </w:rPr>
        <w:t>приобретение машин и оборудования - 20,5% (2014 год - 30,7%);</w:t>
      </w:r>
    </w:p>
    <w:p w:rsidR="00C51049" w:rsidRPr="00C51049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104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транспортные средства - 4,9% (2014 год - 2,2%); </w:t>
      </w:r>
    </w:p>
    <w:p w:rsidR="00C51049" w:rsidRPr="00C51049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104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прочие инвестиции - 4,7% (2014 год - 3,5%).</w:t>
      </w:r>
    </w:p>
    <w:p w:rsidR="00C51049" w:rsidRPr="00C51049" w:rsidRDefault="00C51049" w:rsidP="00C51049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1049">
        <w:rPr>
          <w:rFonts w:ascii="Times New Roman" w:eastAsia="Calibri" w:hAnsi="Times New Roman" w:cs="Times New Roman"/>
          <w:sz w:val="28"/>
          <w:szCs w:val="20"/>
          <w:lang w:eastAsia="ru-RU"/>
        </w:rPr>
        <w:t>Рис. 3</w:t>
      </w:r>
    </w:p>
    <w:p w:rsidR="00C51049" w:rsidRPr="00C51049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104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1ABC05C5" wp14:editId="3A3611D6">
            <wp:extent cx="6299835" cy="3444925"/>
            <wp:effectExtent l="0" t="0" r="5715" b="317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45265" w:rsidRDefault="00C45265" w:rsidP="00C510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C51049" w:rsidRPr="00C51049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gramStart"/>
      <w:r w:rsidRPr="00C51049">
        <w:rPr>
          <w:rFonts w:ascii="Times New Roman" w:eastAsia="Calibri" w:hAnsi="Times New Roman" w:cs="Times New Roman"/>
          <w:sz w:val="28"/>
          <w:szCs w:val="20"/>
          <w:lang w:eastAsia="ru-RU"/>
        </w:rPr>
        <w:t>В целях повышения роли предпринимательства в экономике города              Ханты-Мансийска, обеспечения продовольственной безопасности, повышение инвестиционной активности на территории города Ханты-Мансийска и создания условий труда, обеспечивающих сохранение жизни и здоровья работников                      в процессе трудовой деятельности, Администрацией города Ханты-Мансийска                в 2015 году была утверждена программа «Развитие отдельных секторов экономики города Ханты-Мансийска» на 2016-2020 годы.</w:t>
      </w:r>
      <w:proofErr w:type="gramEnd"/>
    </w:p>
    <w:p w:rsidR="001D38A9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1049">
        <w:rPr>
          <w:rFonts w:ascii="Times New Roman" w:eastAsia="Calibri" w:hAnsi="Times New Roman" w:cs="Times New Roman"/>
          <w:sz w:val="28"/>
          <w:szCs w:val="20"/>
          <w:lang w:eastAsia="ru-RU"/>
        </w:rPr>
        <w:t>В 2015 году введено в эксплуатацию 140 тыс. кв. м жилой площади, в том числе 19,9 тыс. кв. м индивидуального жилья.</w:t>
      </w:r>
    </w:p>
    <w:p w:rsidR="00C51049" w:rsidRPr="00FC133B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highlight w:val="yellow"/>
          <w:lang w:eastAsia="ru-RU"/>
        </w:rPr>
      </w:pPr>
    </w:p>
    <w:p w:rsidR="001D38A9" w:rsidRPr="00C51049" w:rsidRDefault="009218C9" w:rsidP="00A367AC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38A9" w:rsidRPr="00C51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Занятость населения</w:t>
      </w:r>
    </w:p>
    <w:p w:rsidR="00134E43" w:rsidRP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Ситуация на рынке труда города Ханты-Мансийска за последние пять лет характеризуется стабильностью. За период с 2011 года по 2015 год показатели, характеризующие развитие рынка труда, имеют положительную динамику:</w:t>
      </w:r>
    </w:p>
    <w:p w:rsidR="00134E43" w:rsidRP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численность экономически активного населения увеличилась на 8,6%;</w:t>
      </w:r>
    </w:p>
    <w:p w:rsid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среднесписочная численность работников увеличилась на 1,8%;</w:t>
      </w:r>
    </w:p>
    <w:p w:rsidR="00134E43" w:rsidRP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численность безработных граждан, стоящих на регистрационном учете                    </w:t>
      </w: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центре занятости населения снизилась с 230 чел. до 219 чел.;</w:t>
      </w:r>
    </w:p>
    <w:p w:rsidR="00134E43" w:rsidRP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безработицы снизился с 0,43% до 0,38%;</w:t>
      </w:r>
    </w:p>
    <w:p w:rsidR="00134E43" w:rsidRP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предприятиями и организациями города создано 3264 рабочих места.</w:t>
      </w:r>
    </w:p>
    <w:p w:rsidR="00134E43" w:rsidRP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Численность экономически активного населения на 01.01.2016 составила    57218 чел., или 58,5% от общей численности населения города                             Ханты-Мансийска, из их числа 56999 чел., или 99,6% от числа экономически активного населения, были заняты в экономике (2014 год - 56031 чел.).</w:t>
      </w:r>
    </w:p>
    <w:p w:rsidR="00134E43" w:rsidRP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Среднесписочная численность работников, не относящихся к субъектам малого предпринимательства, за 2015 год составила 39442 чел. или 96,6%                      к 2014 году (40849 чел.).</w:t>
      </w:r>
    </w:p>
    <w:p w:rsidR="00134E43" w:rsidRP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01.01.2016 число граждан, обратившихся за содействием           в поиске подходящей работы, составило 2240 чел. (работающие граждане, граждане, желающие сменить место работы, выпускники организаций профессионального образования, граждане предпенсионного возраста, инвалиды, многодетные родители, родители, воспитывающие детей-инвалидов и др.),                     из них 820 чел. (или 40,0%) трудоустроены.</w:t>
      </w:r>
    </w:p>
    <w:p w:rsidR="00134E43" w:rsidRP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состоянию на 01.01.2016 численность безработных граждан, стоящих           на регистрационном учете в центре занятости населения, составила 219 чел. </w:t>
      </w:r>
    </w:p>
    <w:p w:rsidR="00134E43" w:rsidRP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Безработные, состоящие на учете в органах службы занятости населения,              в своем большинстве, представляют категории населения, испытывающие постоянные трудности в трудоустройстве.</w:t>
      </w:r>
    </w:p>
    <w:p w:rsidR="00134E43" w:rsidRP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регистрируемой безработицы составил 0,38% от экономически активного населения.</w:t>
      </w:r>
    </w:p>
    <w:p w:rsidR="00134E43" w:rsidRP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Сокращение потребности работодателей в работниках, заявленной в службу занятости населения, оказало отрицательное влияние на коэффициент напряженности. В анализируемом </w:t>
      </w:r>
      <w:proofErr w:type="gramStart"/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периоде</w:t>
      </w:r>
      <w:proofErr w:type="gramEnd"/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коэффициент напряженности составил 0,61 человека на 1 свободное рабочее место.</w:t>
      </w:r>
    </w:p>
    <w:p w:rsidR="00134E43" w:rsidRP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отчетном периоде минимизации сезонных колебаний и снижению напряженности на рынке труда способствовала реализация мероприятий программы Ханты-Мансийского автономного округа - Югры «Содействие занятости населения на 2016-2020 годы» (далее - Программа), в которой сохранены стимулирующие меры государственной поддержки работодателям и отдельным категориям граждан, а также мероприятия во исполнение поручений Президента Российской Федерации:</w:t>
      </w:r>
      <w:proofErr w:type="gramEnd"/>
    </w:p>
    <w:p w:rsidR="00134E43" w:rsidRPr="00134E43" w:rsidRDefault="00DE264A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34E43"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содействие в трудоустройстве инвалидов, одиноких родителей, многодетных родителей и родителей, воспитывающих детей-инвалидов, женщин, находящихся в отпуске по уходу за ребенком в возрасте до 3-х лет;</w:t>
      </w:r>
    </w:p>
    <w:p w:rsidR="00134E43" w:rsidRPr="00134E43" w:rsidRDefault="00DE264A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34E43"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содействие занятости граждан предпенсионного и пенсионного возраста;</w:t>
      </w:r>
    </w:p>
    <w:p w:rsidR="00134E43" w:rsidRPr="00134E43" w:rsidRDefault="00DE264A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34E43"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содействие временному трудоустройству лиц, освободившихся из мест лишения свободы, и лиц, осужденных к исполнению наказания в виде лишения свободы и др.</w:t>
      </w:r>
    </w:p>
    <w:p w:rsidR="00134E43" w:rsidRP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2015 году на реализацию политики в сфере содействия занятости населения и снижению напряженности на рынке труда в</w:t>
      </w:r>
      <w:r w:rsidR="00DE2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 Программы направлено 12</w:t>
      </w: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118,6 тыс. рублей.</w:t>
      </w:r>
    </w:p>
    <w:p w:rsidR="00134E43" w:rsidRP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Особое внимание уделялось категориям граждан, нуждающихся                             </w:t>
      </w: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дополнительных мерах по трудоустройству. В </w:t>
      </w:r>
      <w:proofErr w:type="gramStart"/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</w:t>
      </w:r>
      <w:proofErr w:type="gramEnd"/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заключенными договорами на созданные и специально оборудованные рабочие места трудоустроено 10 инвалидов при плане 9 граждан данной категории.</w:t>
      </w:r>
    </w:p>
    <w:p w:rsidR="00134E43" w:rsidRP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проводимых мероприятий Программы были трудоустроены граждане, испытывающие трудности в поиске работы, несовершеннолетние граждане в возрасте от 14 до 18 лет, в том числе подростки, оказавшиеся                         в трудной жизненной ситуации, а также выпускники профессиональных образовательных организаций и образовательных организаций высшего образования в возрасте до 25 лет.</w:t>
      </w:r>
      <w:proofErr w:type="gramEnd"/>
    </w:p>
    <w:p w:rsidR="00134E43" w:rsidRP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Заявленная работодателями в службу занятости населения потребность                  в работниках по состоянию на 01.01.2016 составила 359 вакансий (на 01.01.2015 - 488 вакансий), из них для замещения иностранных работников - 1 единица                   или 0,3% от общего количества вакансий.</w:t>
      </w:r>
    </w:p>
    <w:p w:rsidR="00134E43" w:rsidRP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видам экономической деятельности наибольшее число вакансий заявлено в сферах: операции с недвижимым имуществом; аренда                                      и предоставление услуг (35,4%); здравоохранение и предоставление услуг (33,7%); образование (7,5%); транспорт и связь (5,8%); добыча полезных ископаемых (4,6%); предоставление прочих коммунальных, социальных                          и персональных услуг (3,9%); производство и распределение электроэнергии, газа и воды (3,3%); государственное управление и обеспечение военной области (1,4%); финансовая деятельность (1,4%); оптовая и розничная торговля, ремонт автотранспортных средств, мотоциклов, бытовых изделий и предметов личного использования (1,1%); гостиницы и рестораны (0,6%).</w:t>
      </w:r>
    </w:p>
    <w:p w:rsidR="00134E43" w:rsidRP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Учитывая потребность в рабочей силе по специальностям,                                      не востребованным либо с отсутствием таких специалистов в городе,                                в соответствии с миграционным законодательством привлекается иностранная рабочая сила, прибывшая в Российскую Федерацию в порядке, требующем получение визы, в соответствии с заявками, поданными работодателями.</w:t>
      </w:r>
    </w:p>
    <w:p w:rsidR="00134E43" w:rsidRP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2015 год по городу Ханты-Мансийску установлена квота на выдачу иностранным гражданам, прибывшим в Российскую Федерацию в порядке, требующем получение визы, 444 разрешения на работу. Всего за 2015 год организациями города использована квота в количестве 20 единиц, что составляет 4,5% от утвержденной квоты. Оформлено иностранным гражданам 1899 патентов.</w:t>
      </w:r>
    </w:p>
    <w:p w:rsidR="00E51DF0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Свой вклад в создание рабочих мест внесли предприятия и организациями города. Всего за 2015 год предприятиями и организациями города было создано 655 рабочих мест (в 2014 году </w:t>
      </w:r>
      <w:r w:rsidR="00DE2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641</w:t>
      </w:r>
      <w:r w:rsidR="00DE2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рабочее место</w:t>
      </w:r>
      <w:r w:rsidRPr="0013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в том числе 574 постоянных рабочих места, 81 рабочее место временного характера.</w:t>
      </w:r>
    </w:p>
    <w:p w:rsidR="00134E43" w:rsidRPr="00134E43" w:rsidRDefault="00134E43" w:rsidP="00134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51DF0" w:rsidRPr="00C51049" w:rsidRDefault="00E51DF0" w:rsidP="00A367AC">
      <w:pPr>
        <w:pStyle w:val="aa"/>
        <w:widowControl w:val="0"/>
        <w:numPr>
          <w:ilvl w:val="1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жизни населения</w:t>
      </w:r>
    </w:p>
    <w:p w:rsidR="00C51049" w:rsidRPr="00C51049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C5104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Одним из основных макроэкономических показателей уровня жизни являются доходы населения. По итогам 2015 года </w:t>
      </w:r>
      <w:r w:rsidR="00DE264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среднедушевой доход составил 47</w:t>
      </w:r>
      <w:r w:rsidRPr="00C5104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590,44 руб</w:t>
      </w:r>
      <w:r w:rsidR="00DE264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лей, или 101,7% к 2014 году (46</w:t>
      </w:r>
      <w:r w:rsidRPr="00C5104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811,73 рублей).</w:t>
      </w:r>
    </w:p>
    <w:p w:rsidR="00C51049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C5104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Достигнутый уровень денежных доходов населения позволяет обеспечивать более трех бюджетов прожиточного минимума, который составляет                          </w:t>
      </w:r>
      <w:r w:rsidR="00DE264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14</w:t>
      </w:r>
      <w:r w:rsidRPr="00C5104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350,0 рублей.</w:t>
      </w:r>
    </w:p>
    <w:p w:rsidR="00C14DD1" w:rsidRPr="00C51049" w:rsidRDefault="00C14DD1" w:rsidP="00C510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C51049" w:rsidRPr="00C51049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C5104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2015 году среднемесячная заработная плата одного работающего                       в о</w:t>
      </w:r>
      <w:r w:rsidR="00DE264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рганизациях города составила 67</w:t>
      </w:r>
      <w:r w:rsidRPr="00C5104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300,4 рублей, или 101,0% к 2014 году                       </w:t>
      </w:r>
      <w:r w:rsidR="00DE264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(66</w:t>
      </w:r>
      <w:r w:rsidRPr="00C5104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654,6 рублей).</w:t>
      </w:r>
    </w:p>
    <w:p w:rsidR="00C51049" w:rsidRPr="00C51049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C51049" w:rsidRPr="00C51049" w:rsidRDefault="00C51049" w:rsidP="00C5104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C5104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Рис. 4</w:t>
      </w:r>
    </w:p>
    <w:p w:rsidR="00C51049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C5104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47570C38" wp14:editId="717C9323">
            <wp:extent cx="6400800" cy="2355215"/>
            <wp:effectExtent l="0" t="0" r="0" b="6985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51049" w:rsidRPr="00C51049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C51049" w:rsidRPr="00C51049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C5104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Среднемесячный размер пенсии одного пенсионера по данным государственного учреждения - Отделение Пенсионного Фонда Российской Федерации по Ханты-Мансийскому автономному округу – Югре в городе                 Ханты-Мансийске в 2015 году составил 19605,89 рублей, или 110,6% к 2014 году (17729,17 рублей) без учета доплат из бюджета автономного округа.</w:t>
      </w:r>
    </w:p>
    <w:p w:rsidR="00C51049" w:rsidRPr="00C51049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C5104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Доплаты неработающим пенсионерам производятся Негосударственным Пенсионным Фондом Ханты-Мансийского автономного округа – Югры, размер доплаты зависит от стажа работы пенсионера на территории округа. За 2015 год до</w:t>
      </w:r>
      <w:r w:rsidR="0000797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полнительные выплаты получили 6434 чел. (2014 год - 6</w:t>
      </w:r>
      <w:r w:rsidRPr="00C5104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580 чел.) в среднем         </w:t>
      </w:r>
      <w:r w:rsidR="0000797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992,7 рублей (2014 год - 1</w:t>
      </w:r>
      <w:r w:rsidRPr="00C5104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015,3 рублей).</w:t>
      </w:r>
    </w:p>
    <w:p w:rsidR="00C51049" w:rsidRPr="00C51049" w:rsidRDefault="00C51049" w:rsidP="00C510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C5104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 учетом дополнительных выплат средний размер доходов одного неработающего пен</w:t>
      </w:r>
      <w:r w:rsidR="0000797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сионера в 2015 году составил 20</w:t>
      </w:r>
      <w:r w:rsidRPr="00C5104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598,6 рублей (2014 год - </w:t>
      </w:r>
      <w:r w:rsidR="0000797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br/>
        <w:t>18</w:t>
      </w:r>
      <w:r w:rsidRPr="00C5104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744,4 рублей).</w:t>
      </w:r>
    </w:p>
    <w:p w:rsidR="00BD4D65" w:rsidRPr="00FC133B" w:rsidRDefault="00BD4D65" w:rsidP="00A367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</w:pPr>
    </w:p>
    <w:p w:rsidR="00BD4D65" w:rsidRPr="00C835BA" w:rsidRDefault="00BD4D65" w:rsidP="00A367AC">
      <w:pPr>
        <w:pStyle w:val="aa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Потребительский рынок</w:t>
      </w:r>
    </w:p>
    <w:p w:rsidR="00BD4D65" w:rsidRPr="00C835BA" w:rsidRDefault="00BD4D65" w:rsidP="00A3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35BA">
        <w:rPr>
          <w:rFonts w:ascii="Times New Roman" w:hAnsi="Times New Roman" w:cs="Times New Roman"/>
          <w:b/>
          <w:i/>
          <w:sz w:val="28"/>
          <w:szCs w:val="28"/>
        </w:rPr>
        <w:t>Торговля</w:t>
      </w:r>
    </w:p>
    <w:p w:rsidR="00C835BA" w:rsidRPr="00C835BA" w:rsidRDefault="00C835BA" w:rsidP="00C83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35BA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города Ханты-Мансийска создание условий для обеспечения жителей услугами общественного питания, торговли и бытового обслуживания относится к вопросам местного значения муниципального образования.</w:t>
      </w:r>
      <w:proofErr w:type="gramEnd"/>
    </w:p>
    <w:p w:rsidR="00C835BA" w:rsidRPr="00C835BA" w:rsidRDefault="00C835BA" w:rsidP="00C83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01.01.2016 на территории города функционирует максимальное количество торговых форматов:</w:t>
      </w:r>
      <w:r w:rsidRPr="00C835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торговых домов; 430 магазинов (в том числе: продовольственных - 203, непродовольственных - 227), 53 объекта мелкорозничной торговой сети, </w:t>
      </w:r>
      <w:r w:rsidRPr="00C835BA">
        <w:rPr>
          <w:rFonts w:ascii="Times New Roman" w:eastAsia="Times New Roman" w:hAnsi="Times New Roman" w:cs="Times New Roman"/>
          <w:sz w:val="28"/>
          <w:szCs w:val="24"/>
          <w:lang w:eastAsia="ru-RU"/>
        </w:rPr>
        <w:t>1 розничный рынок «Универсальный».</w:t>
      </w:r>
    </w:p>
    <w:p w:rsidR="00C835BA" w:rsidRPr="00C835BA" w:rsidRDefault="00C835BA" w:rsidP="00C83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направления разви</w:t>
      </w:r>
      <w:r w:rsidR="00C1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торговли города направлены 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социальную значимость потребительского рынка и создание условий для формирования комфортной потребительской среды. Сегодня на территории города наметилась тенденция развития в пользу </w:t>
      </w:r>
      <w:r w:rsidRPr="00C835B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современных форматов торговли это сетевые формы торговли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с использованием франшиз известных брендов) и несетевые форматы торговли, существующие на конкурентных условиях. </w:t>
      </w:r>
    </w:p>
    <w:p w:rsidR="00C835BA" w:rsidRPr="00C835BA" w:rsidRDefault="00C835BA" w:rsidP="00C83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розничной торговли за 2015 год по предварител</w:t>
      </w:r>
      <w:r w:rsidR="009F31D9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данным составил в сумме 17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>883,5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(рис. </w:t>
      </w:r>
      <w:r w:rsidR="00BE1D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в действующих ценах превышает уровень 2014 года на 986,7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на 5,8% в со</w:t>
      </w:r>
      <w:r w:rsidR="009F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поставимых ценах (2014 год - 16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>896,8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рублей). </w:t>
      </w:r>
    </w:p>
    <w:p w:rsidR="00C835BA" w:rsidRPr="00C835BA" w:rsidRDefault="00C835BA" w:rsidP="00C83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</w:t>
      </w:r>
      <w:r w:rsidR="00BE1D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835BA" w:rsidRPr="00C835BA" w:rsidRDefault="00C835BA" w:rsidP="00C835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розничной торговли,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835BA" w:rsidRPr="00C835BA" w:rsidRDefault="00C835BA" w:rsidP="00C835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259AE7" wp14:editId="64B46D0D">
            <wp:extent cx="5495925" cy="2400300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835BA" w:rsidRPr="00C835BA" w:rsidRDefault="00C835BA" w:rsidP="00C83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Товарооборот в расчете на душу населения составил 189,4 тыс. рублей </w:t>
      </w:r>
      <w:r w:rsidR="00B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(рис. </w:t>
      </w:r>
      <w:r w:rsidR="00BE1D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в действующих ценах на 6200 рублей больше показателя 2014 года (2014 год - 183,2 тыс. рублей).</w:t>
      </w:r>
    </w:p>
    <w:p w:rsidR="00C835BA" w:rsidRPr="00C835BA" w:rsidRDefault="00C835BA" w:rsidP="00C83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</w:t>
      </w:r>
      <w:r w:rsidR="00BE1D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835BA" w:rsidRPr="00C835BA" w:rsidRDefault="00C835BA" w:rsidP="00C835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35BA">
        <w:rPr>
          <w:rFonts w:ascii="Times New Roman" w:eastAsia="Calibri" w:hAnsi="Times New Roman" w:cs="Times New Roman"/>
          <w:sz w:val="28"/>
          <w:szCs w:val="28"/>
          <w:lang w:eastAsia="ru-RU"/>
        </w:rPr>
        <w:t>Оборот розничной торговли на душу населения, тыс. руб.</w:t>
      </w:r>
    </w:p>
    <w:p w:rsidR="00C835BA" w:rsidRPr="00C835BA" w:rsidRDefault="00C835BA" w:rsidP="00C835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C88374" wp14:editId="3F680362">
            <wp:extent cx="5495925" cy="2190750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835BA" w:rsidRPr="00C835BA" w:rsidRDefault="00C835BA" w:rsidP="00C8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2011-2015 годы введено в эксплуатацию 129 новых торговых объектов,                в том числе 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>в 2015 году открыт Торговый центр «</w:t>
      </w:r>
      <w:r w:rsidRPr="00C835BA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NEBO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>», Торговый комплекс федерального оператора «Лента», 32 магазина.</w:t>
      </w:r>
    </w:p>
    <w:p w:rsidR="00C835BA" w:rsidRPr="00C835BA" w:rsidRDefault="00C835BA" w:rsidP="00C835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Основным критерием оценки доступности товаров для населения                            и удовлетворения спроса является достижение нормативов минимальной 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обеспеченности населения площадью торговых объектов.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hyperlink r:id="rId15" w:history="1">
        <w:r w:rsidRPr="00C835B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Правительства</w:t>
        </w:r>
        <w:r w:rsidRPr="00C835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C835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Ханты-Мансийского автономного округа - Югры </w:t>
        </w:r>
        <w:r w:rsidRPr="00C835B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от 14.01.2011 №8-п «О нормативах минимальной обеспеченности населения площадью торговых объектов в Ханты-Мансийском автономном округе - Югре»</w:t>
        </w:r>
      </w:hyperlink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>для города Ханты-Мансийска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норматив минимальной обеспеченности торговой площадью на 1000 жителей - 515 </w:t>
      </w:r>
      <w:proofErr w:type="spellStart"/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>кв.м</w:t>
      </w:r>
      <w:proofErr w:type="spellEnd"/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>. Фактическая обеспеченность по состоянию на 0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>1.01.2016 составила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859,0 </w:t>
      </w:r>
      <w:proofErr w:type="spellStart"/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>кв</w:t>
      </w:r>
      <w:proofErr w:type="gramStart"/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>.м</w:t>
      </w:r>
      <w:proofErr w:type="spellEnd"/>
      <w:proofErr w:type="gramEnd"/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1000 жителей (в 2014 году обеспеченность на 1000 жителей составляла 818,5 </w:t>
      </w:r>
      <w:proofErr w:type="spellStart"/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>кв.м</w:t>
      </w:r>
      <w:proofErr w:type="spellEnd"/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>). У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становленный норматив минимальной обеспеченности торговыми площадями превышен на 67%, что соответствует среднему показателю роста обеспеченности населения торговыми объектами              по Ханты-Мансийскому автономному округу – Югре.</w:t>
      </w:r>
    </w:p>
    <w:p w:rsidR="00C835BA" w:rsidRPr="00C835BA" w:rsidRDefault="00C835BA" w:rsidP="00C835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>В городе Ханты-Мансийске торговые сети за пять лет стали одним из самых быстрорастущих и успешных сегментов розничного рынка, именно данная форма торговли</w:t>
      </w:r>
      <w:r w:rsidRPr="00C835B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является эффективным способом</w:t>
      </w:r>
      <w:r w:rsidR="00C14DD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обеспечения физической</w:t>
      </w:r>
      <w:r w:rsidRPr="00C835B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C14DD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br/>
      </w:r>
      <w:r w:rsidRPr="00C835B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 экономической доступности товаров для населения.</w:t>
      </w:r>
      <w:proofErr w:type="gramEnd"/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Торговые сети в городе представлены местными сетевыми компаниями - 47 хозяйствующих субъектов, осуществляющих деятельность на 118 объектах торговли, и торговыми сетями федеральных и региональных опер</w:t>
      </w:r>
      <w:r w:rsidR="00C14DD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аторов (в том числе работающих </w:t>
      </w:r>
      <w:r w:rsidR="00C14DD1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франчайзингу) - 63 хозяйствующих субъекта на 90 торговых объектах. Доля площадей сетевой формы торговли в общей торговой площади составила 54%. </w:t>
      </w:r>
    </w:p>
    <w:p w:rsidR="00C835BA" w:rsidRPr="00C835BA" w:rsidRDefault="00C835BA" w:rsidP="00C8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для города имеют межрегиональные связи. Местные сельхозпроизводители, товаропроизводители сельскохозяйственной продукции юга Тюменской области, Курганской, Свердловской и Челябинской областей, Ханты-Мансийского автономного округа – Югры регулярно представляют свою продукцию, принимают участие и заключают контракты на городских </w:t>
      </w:r>
      <w:r w:rsidR="00C14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окружных </w:t>
      </w:r>
      <w:proofErr w:type="spellStart"/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>-ярмарочных площадках.</w:t>
      </w:r>
    </w:p>
    <w:p w:rsidR="00C835BA" w:rsidRPr="00C835BA" w:rsidRDefault="00C835BA" w:rsidP="00C8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35BA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города Ханты-Мансийска от</w:t>
      </w:r>
      <w:r w:rsidRPr="00C83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28.07.2015 </w:t>
      </w:r>
      <w:r w:rsidRPr="00C835BA">
        <w:rPr>
          <w:rFonts w:ascii="Times New Roman" w:eastAsia="Calibri" w:hAnsi="Times New Roman" w:cs="Times New Roman"/>
          <w:sz w:val="28"/>
          <w:szCs w:val="28"/>
        </w:rPr>
        <w:t xml:space="preserve">№856 «Об определении количества торговых мест на универсальном рынке </w:t>
      </w:r>
      <w:r w:rsidR="00C14DD1">
        <w:rPr>
          <w:rFonts w:ascii="Times New Roman" w:eastAsia="Calibri" w:hAnsi="Times New Roman" w:cs="Times New Roman"/>
          <w:sz w:val="28"/>
          <w:szCs w:val="28"/>
        </w:rPr>
        <w:br/>
      </w:r>
      <w:r w:rsidRPr="00C835BA">
        <w:rPr>
          <w:rFonts w:ascii="Times New Roman" w:eastAsia="Calibri" w:hAnsi="Times New Roman" w:cs="Times New Roman"/>
          <w:sz w:val="28"/>
          <w:szCs w:val="28"/>
        </w:rPr>
        <w:t xml:space="preserve">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</w:t>
      </w:r>
      <w:r w:rsidR="00C14DD1">
        <w:rPr>
          <w:rFonts w:ascii="Times New Roman" w:eastAsia="Calibri" w:hAnsi="Times New Roman" w:cs="Times New Roman"/>
          <w:sz w:val="28"/>
          <w:szCs w:val="28"/>
        </w:rPr>
        <w:br/>
      </w:r>
      <w:r w:rsidRPr="00C835BA">
        <w:rPr>
          <w:rFonts w:ascii="Times New Roman" w:eastAsia="Calibri" w:hAnsi="Times New Roman" w:cs="Times New Roman"/>
          <w:sz w:val="28"/>
          <w:szCs w:val="28"/>
        </w:rPr>
        <w:t>или занимающимися садоводством, огородничеством, животноводством» гарантированно предоставляются торговые места в размере 10% от общего количества торговых мест на универсальном рынке «Лукошко».</w:t>
      </w:r>
      <w:proofErr w:type="gramEnd"/>
      <w:r w:rsidRPr="00C835BA">
        <w:rPr>
          <w:rFonts w:ascii="Times New Roman" w:eastAsia="Calibri" w:hAnsi="Times New Roman" w:cs="Times New Roman"/>
          <w:sz w:val="28"/>
          <w:szCs w:val="28"/>
        </w:rPr>
        <w:t xml:space="preserve"> В 2015 году обеспеченность торговыми местами составила 100%.</w:t>
      </w:r>
    </w:p>
    <w:p w:rsidR="00C835BA" w:rsidRPr="00C835BA" w:rsidRDefault="00C835BA" w:rsidP="00C83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835BA">
        <w:rPr>
          <w:rFonts w:ascii="Times New Roman" w:eastAsia="Calibri" w:hAnsi="Times New Roman" w:cs="Times New Roman"/>
          <w:kern w:val="24"/>
          <w:sz w:val="28"/>
          <w:szCs w:val="28"/>
        </w:rPr>
        <w:t xml:space="preserve">В 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2015 году проведено 69 </w:t>
      </w:r>
      <w:r w:rsidRPr="00C835BA">
        <w:rPr>
          <w:rFonts w:ascii="Times New Roman" w:eastAsia="Calibri" w:hAnsi="Times New Roman" w:cs="Times New Roman"/>
          <w:sz w:val="28"/>
          <w:szCs w:val="28"/>
        </w:rPr>
        <w:t>ярмарок,</w:t>
      </w:r>
      <w:r w:rsidRPr="00C835BA">
        <w:rPr>
          <w:rFonts w:ascii="Calibri" w:eastAsia="Calibri" w:hAnsi="Calibri" w:cs="Times New Roman"/>
          <w:sz w:val="28"/>
          <w:szCs w:val="28"/>
        </w:rPr>
        <w:t xml:space="preserve"> </w:t>
      </w:r>
      <w:r w:rsidRPr="00C835BA">
        <w:rPr>
          <w:rFonts w:ascii="Times New Roman" w:eastAsia="Calibri" w:hAnsi="Times New Roman" w:cs="Times New Roman"/>
          <w:sz w:val="28"/>
          <w:szCs w:val="28"/>
        </w:rPr>
        <w:t>(2014 год - 64 ярмарки)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том числе: </w:t>
      </w:r>
    </w:p>
    <w:p w:rsidR="00C835BA" w:rsidRPr="00C835BA" w:rsidRDefault="00EC739D" w:rsidP="00C835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C835BA" w:rsidRPr="00C835BA">
        <w:rPr>
          <w:rFonts w:ascii="Times New Roman" w:eastAsia="Calibri" w:hAnsi="Times New Roman" w:cs="Times New Roman"/>
          <w:bCs/>
          <w:sz w:val="28"/>
          <w:szCs w:val="28"/>
        </w:rPr>
        <w:t xml:space="preserve">VI Межрегиональная агропромышленная выставка Уральского Федерального округа в КВЦ «Югра-Экспо»; </w:t>
      </w:r>
    </w:p>
    <w:p w:rsidR="00C835BA" w:rsidRPr="00C835BA" w:rsidRDefault="00EC739D" w:rsidP="00C835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35BA" w:rsidRPr="00C835BA">
        <w:rPr>
          <w:rFonts w:ascii="Times New Roman" w:eastAsia="Calibri" w:hAnsi="Times New Roman" w:cs="Times New Roman"/>
          <w:sz w:val="28"/>
          <w:szCs w:val="28"/>
        </w:rPr>
        <w:t>выставка-ярмарка «Ежегодный день урожая Ханты-Мансийского автономного округа - Югры;</w:t>
      </w:r>
    </w:p>
    <w:p w:rsidR="00C835BA" w:rsidRPr="00C835BA" w:rsidRDefault="00EC739D" w:rsidP="00C835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835BA" w:rsidRPr="00C835BA">
        <w:rPr>
          <w:rFonts w:ascii="Times New Roman" w:eastAsia="Calibri" w:hAnsi="Times New Roman" w:cs="Times New Roman"/>
          <w:sz w:val="28"/>
          <w:szCs w:val="28"/>
        </w:rPr>
        <w:t xml:space="preserve"> первая городская сельскохозяйственная ярмарка «Дары осени»; </w:t>
      </w:r>
    </w:p>
    <w:p w:rsidR="00C835BA" w:rsidRPr="00C835BA" w:rsidRDefault="00C835BA" w:rsidP="00C83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835BA">
        <w:rPr>
          <w:rFonts w:ascii="Times New Roman" w:eastAsia="Calibri" w:hAnsi="Times New Roman" w:cs="Times New Roman"/>
          <w:sz w:val="28"/>
          <w:szCs w:val="28"/>
        </w:rPr>
        <w:t xml:space="preserve">ярмарка «Покупаем </w:t>
      </w:r>
      <w:proofErr w:type="gramStart"/>
      <w:r w:rsidRPr="00C835BA">
        <w:rPr>
          <w:rFonts w:ascii="Times New Roman" w:eastAsia="Calibri" w:hAnsi="Times New Roman" w:cs="Times New Roman"/>
          <w:sz w:val="28"/>
          <w:szCs w:val="28"/>
        </w:rPr>
        <w:t>Тюменское</w:t>
      </w:r>
      <w:proofErr w:type="gramEnd"/>
      <w:r w:rsidRPr="00C835BA">
        <w:rPr>
          <w:rFonts w:ascii="Times New Roman" w:eastAsia="Calibri" w:hAnsi="Times New Roman" w:cs="Times New Roman"/>
          <w:sz w:val="28"/>
          <w:szCs w:val="28"/>
        </w:rPr>
        <w:t>»;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C835BA" w:rsidRPr="00C835BA" w:rsidRDefault="00EC739D" w:rsidP="00C835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C835BA"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окружная выставка-форум </w:t>
      </w:r>
      <w:r w:rsidR="00C835BA" w:rsidRPr="00C835BA">
        <w:rPr>
          <w:rFonts w:ascii="Times New Roman" w:eastAsia="Calibri" w:hAnsi="Times New Roman" w:cs="Times New Roman"/>
          <w:sz w:val="28"/>
          <w:szCs w:val="28"/>
        </w:rPr>
        <w:t>«Товары земли Югорской» и другие.</w:t>
      </w:r>
    </w:p>
    <w:p w:rsidR="00C835BA" w:rsidRPr="00C835BA" w:rsidRDefault="00C835BA" w:rsidP="00C835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Проведение </w:t>
      </w:r>
      <w:r w:rsidRPr="00C835BA">
        <w:rPr>
          <w:rFonts w:ascii="Times New Roman" w:eastAsia="Calibri" w:hAnsi="Times New Roman" w:cs="Times New Roman"/>
          <w:sz w:val="28"/>
          <w:szCs w:val="28"/>
        </w:rPr>
        <w:t xml:space="preserve">ярмарок способствует развитию здоровой конкуренции                      в городе, позволяет жителям города приобрести качественную продукцию                   </w:t>
      </w:r>
      <w:r w:rsidRPr="00C835BA">
        <w:rPr>
          <w:rFonts w:ascii="Times New Roman" w:eastAsia="Calibri" w:hAnsi="Times New Roman" w:cs="Times New Roman"/>
          <w:sz w:val="28"/>
          <w:szCs w:val="28"/>
        </w:rPr>
        <w:lastRenderedPageBreak/>
        <w:t>по ценам производителя, поддерживать экономические связи. График проведения ярмарок ежегодно размещается на Официальном информационном портале органов местного самоуправления города Ханты-Мансийска.</w:t>
      </w:r>
    </w:p>
    <w:p w:rsidR="00C835BA" w:rsidRPr="00C835BA" w:rsidRDefault="00C835BA" w:rsidP="00C835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BA">
        <w:rPr>
          <w:rFonts w:ascii="Times New Roman" w:eastAsia="Calibri" w:hAnsi="Times New Roman" w:cs="Times New Roman"/>
          <w:sz w:val="28"/>
          <w:szCs w:val="28"/>
        </w:rPr>
        <w:t xml:space="preserve">Во исполнение распоряжения Правительства Ханты-Мансийского автономного округа – Югры от 29.08.2014 №476-рп «О комплексе мер                          по обеспечению сбалансированности товарных рынков и недопущению необоснованного роста цен на сельскохозяйственную продукцию, сырье                           и продовольствие </w:t>
      </w:r>
      <w:proofErr w:type="gramStart"/>
      <w:r w:rsidRPr="00C835B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835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835BA">
        <w:rPr>
          <w:rFonts w:ascii="Times New Roman" w:eastAsia="Calibri" w:hAnsi="Times New Roman" w:cs="Times New Roman"/>
          <w:sz w:val="28"/>
          <w:szCs w:val="28"/>
        </w:rPr>
        <w:t>Ханты-Мансийском</w:t>
      </w:r>
      <w:proofErr w:type="gramEnd"/>
      <w:r w:rsidRPr="00C835BA">
        <w:rPr>
          <w:rFonts w:ascii="Times New Roman" w:eastAsia="Calibri" w:hAnsi="Times New Roman" w:cs="Times New Roman"/>
          <w:sz w:val="28"/>
          <w:szCs w:val="28"/>
        </w:rPr>
        <w:t xml:space="preserve"> автономном округе – Югре» в городе Ханты-Мансийске проводится мониторинг ценовой ситуации                                        </w:t>
      </w:r>
      <w:r w:rsidR="00C14DD1">
        <w:rPr>
          <w:rFonts w:ascii="Times New Roman" w:eastAsia="Calibri" w:hAnsi="Times New Roman" w:cs="Times New Roman"/>
          <w:sz w:val="28"/>
          <w:szCs w:val="28"/>
        </w:rPr>
        <w:br/>
      </w:r>
      <w:r w:rsidRPr="00C835BA">
        <w:rPr>
          <w:rFonts w:ascii="Times New Roman" w:eastAsia="Calibri" w:hAnsi="Times New Roman" w:cs="Times New Roman"/>
          <w:sz w:val="28"/>
          <w:szCs w:val="28"/>
        </w:rPr>
        <w:t>на продовольственном рынке. Информирование о ценах</w:t>
      </w:r>
      <w:r w:rsidRPr="00C835BA">
        <w:rPr>
          <w:rFonts w:ascii="Calibri" w:eastAsia="Calibri" w:hAnsi="Calibri" w:cs="Times New Roman"/>
          <w:sz w:val="28"/>
          <w:szCs w:val="28"/>
        </w:rPr>
        <w:t xml:space="preserve"> </w:t>
      </w:r>
      <w:r w:rsidRPr="00C835BA">
        <w:rPr>
          <w:rFonts w:ascii="Times New Roman" w:eastAsia="Calibri" w:hAnsi="Times New Roman" w:cs="Times New Roman"/>
          <w:sz w:val="28"/>
          <w:szCs w:val="28"/>
        </w:rPr>
        <w:t xml:space="preserve">по товаропроизводителям на фиксированный набор товаров предоставляется горожанам в виде открытого информационного доступа </w:t>
      </w:r>
      <w:r w:rsidRPr="00C835BA">
        <w:rPr>
          <w:rFonts w:ascii="Times New Roman" w:eastAsia="Calibri" w:hAnsi="Times New Roman" w:cs="Times New Roman"/>
          <w:sz w:val="28"/>
          <w:szCs w:val="28"/>
          <w:lang w:eastAsia="x-none"/>
        </w:rPr>
        <w:t>на Официальном информационном портале органов местного самоуправления города Ханты-Мансийска.</w:t>
      </w:r>
    </w:p>
    <w:p w:rsidR="00C835BA" w:rsidRPr="00C835BA" w:rsidRDefault="00C835BA" w:rsidP="00C83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в целях обеспечения социальной стабильности на территории города Ханты-Мансийска, стабилизации цен на отдельные виды продовольственных товаров первой необходимости подписано соглашение                       о сотрудничестве между Администрацией города Ханты-Мансийска </w:t>
      </w:r>
      <w:r w:rsidR="00EC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34 хозяйствующими субъектами: арендодателями, производителями, хозяйствующими субъектами осуществляющих деятельность по реализации                     в сфере розничной торговли продовольственных товаров. Результат принятого соглашения: представители предпринимательского сообщества не допускают нарушения в сфере установления предельных торговых надбавок к ценам                     на социально значимые товары; соблюдают постановление Правительства           Ханты-Мансийского автономного округа – Югры от 16.10.2007 №250-п                      «Об установлении предельных размеров торговых надбавок к ценам на некоторые виды продовольственных товаров»; предпринимают все возможные меры </w:t>
      </w:r>
      <w:r w:rsidR="00C14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снижения, недопущения роста, либо минимизации роста издержек торговли, влияющих на формирование конечных цен на продовольственные товары первой необходимости законодательного установленного перечня, в том числе                         по возможности применяют «упрощенные» формы торговли, обеспечивающие прямой доступ продовольственных товаров первой необходимости                                  от производителей к потребителю. Соглашение носит исключительно добровольный характер, открыто для присоединения новых предприятий торговли. </w:t>
      </w:r>
    </w:p>
    <w:p w:rsidR="00C835BA" w:rsidRPr="00C835BA" w:rsidRDefault="00C835BA" w:rsidP="00C8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proofErr w:type="gramStart"/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>целях</w:t>
      </w:r>
      <w:proofErr w:type="gramEnd"/>
      <w:r w:rsidRPr="00C835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обеспечения потребности населения в торговых объектах пошаговой доступности, в городе продолжается работа по формированию Схемы размещения нестационарных торговых объектов на территории города. П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города от 10.05.2011 № 601 «Об утверждении Схемы размещения нестационарных торговых объектов на территории города Ханты-Мансийска» схемой размещения предусмотрено 51 место.</w:t>
      </w:r>
    </w:p>
    <w:p w:rsidR="00C835BA" w:rsidRPr="00C835BA" w:rsidRDefault="00C835BA" w:rsidP="00C8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ввода в эксплуатацию новых площадей и открытия новых магазинов за 2015 год в данной отрасли трудоустроено 147 человек.</w:t>
      </w:r>
    </w:p>
    <w:p w:rsidR="00FD4E52" w:rsidRDefault="00C835BA" w:rsidP="00C835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35B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Основные направления развития потребительского рынка в 2016 году будут направлены на удовлетворения спроса населения, на развитие услуг розничной </w:t>
      </w:r>
      <w:r w:rsidRPr="00C835B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>торговли и повышения их качества за счет</w:t>
      </w:r>
      <w:r w:rsidRPr="00C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торговых сетей </w:t>
      </w:r>
      <w:r w:rsidRPr="00C83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федеральных, региональных операторов и местных торговых сетей. </w:t>
      </w:r>
    </w:p>
    <w:p w:rsidR="00C835BA" w:rsidRDefault="00C835BA" w:rsidP="00C83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35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14DD1" w:rsidRDefault="00C14DD1" w:rsidP="00C83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14DD1" w:rsidRPr="00C835BA" w:rsidRDefault="00C14DD1" w:rsidP="00C83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D4E52" w:rsidRPr="00FD4E52" w:rsidRDefault="00FD4E52" w:rsidP="00FD4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Общественное питание</w:t>
      </w:r>
    </w:p>
    <w:p w:rsidR="00FD4E52" w:rsidRPr="00FD4E52" w:rsidRDefault="00FD4E52" w:rsidP="00FD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</w:pP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>За 201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 xml:space="preserve"> год сохранена положительная динамика оборота общественного питания. 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 xml:space="preserve">борот общественного питания в действующих ценах составил 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br/>
        <w:t>2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655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>,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0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 xml:space="preserve"> млн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 xml:space="preserve"> руб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лей (рис. </w:t>
      </w:r>
      <w:r w:rsidR="00BE1D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>, что больше показателя 201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 xml:space="preserve"> года на 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>,0% (201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 xml:space="preserve"> год 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 xml:space="preserve"> 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br/>
        <w:t>24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80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>,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 xml:space="preserve"> млн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 xml:space="preserve"> руб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лей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>).</w:t>
      </w:r>
    </w:p>
    <w:p w:rsidR="00FD4E52" w:rsidRPr="00FD4E52" w:rsidRDefault="00FD4E52" w:rsidP="00FD4E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Рис. </w:t>
      </w:r>
      <w:r w:rsidR="00BE1D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</w:p>
    <w:p w:rsidR="00FD4E52" w:rsidRPr="00FD4E52" w:rsidRDefault="00FD4E52" w:rsidP="00FD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E52">
        <w:rPr>
          <w:rFonts w:ascii="Times New Roman" w:eastAsia="Calibri" w:hAnsi="Times New Roman" w:cs="Times New Roman"/>
          <w:sz w:val="28"/>
          <w:szCs w:val="28"/>
          <w:lang w:eastAsia="ru-RU"/>
        </w:rPr>
        <w:t>Оборот общественного питания, млн</w:t>
      </w:r>
      <w:r w:rsidR="009204D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D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руб.</w:t>
      </w:r>
    </w:p>
    <w:p w:rsidR="00FD4E52" w:rsidRPr="00FD4E52" w:rsidRDefault="00FD4E52" w:rsidP="00FD4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56A564" wp14:editId="5B139830">
            <wp:extent cx="5391150" cy="2238375"/>
            <wp:effectExtent l="0" t="0" r="0" b="0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D4E52" w:rsidRPr="00FD4E52" w:rsidRDefault="00FD4E52" w:rsidP="00FD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</w:pP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>Качественным показателем развития этой сферы потребительского рынка является оборот общественного питания на душу населения. В 201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 xml:space="preserve"> году этот показатель составил 2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>,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 xml:space="preserve"> тыс. руб./чел.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(рис. </w:t>
      </w:r>
      <w:r w:rsidR="00BE1D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>, против 2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>,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 xml:space="preserve"> тыс. руб./чел. в 201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 xml:space="preserve"> году, что выше показателя 201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 xml:space="preserve"> года на 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>,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Pr="00FD4E52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>%.</w:t>
      </w:r>
    </w:p>
    <w:p w:rsidR="00FD4E52" w:rsidRPr="00FD4E52" w:rsidRDefault="00FD4E52" w:rsidP="00FD4E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Рис. </w:t>
      </w:r>
      <w:r w:rsidR="00BE1D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</w:t>
      </w:r>
    </w:p>
    <w:p w:rsidR="00FD4E52" w:rsidRPr="00FD4E52" w:rsidRDefault="00FD4E52" w:rsidP="00FD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E52">
        <w:rPr>
          <w:rFonts w:ascii="Times New Roman" w:eastAsia="Calibri" w:hAnsi="Times New Roman" w:cs="Times New Roman"/>
          <w:sz w:val="28"/>
          <w:szCs w:val="28"/>
          <w:lang w:eastAsia="ru-RU"/>
        </w:rPr>
        <w:t>Оборот общественного питания на душу населения, тыс. руб.</w:t>
      </w:r>
    </w:p>
    <w:p w:rsidR="00FD4E52" w:rsidRPr="00FD4E52" w:rsidRDefault="00FD4E52" w:rsidP="00FD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C23F62" wp14:editId="4C065330">
            <wp:extent cx="5495925" cy="2486025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D4E52" w:rsidRPr="00FD4E52" w:rsidRDefault="00FD4E52" w:rsidP="00FD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Рост товарооборота, на протяжении последних 5 лет </w:t>
      </w:r>
      <w:r w:rsidRPr="00FD4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свидетельствует о том, что на </w:t>
      </w:r>
      <w:r w:rsidRPr="00FD4E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рынке общественного питания </w:t>
      </w:r>
      <w:r w:rsidRPr="00FD4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города наблюдается высокая конкуренция, удовлетворяются потребности жителей и гостей города в качественных услугах </w:t>
      </w:r>
      <w:r w:rsidRPr="00FD4E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питания</w:t>
      </w:r>
      <w:r w:rsidRPr="00FD4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FD4E52" w:rsidRPr="00FD4E52" w:rsidRDefault="00FD4E52" w:rsidP="00FD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4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 состоянию на 0</w:t>
      </w:r>
      <w:r w:rsidRPr="00FD4E52">
        <w:rPr>
          <w:rFonts w:ascii="Times New Roman" w:eastAsia="Times New Roman" w:hAnsi="Times New Roman" w:cs="Times New Roman"/>
          <w:sz w:val="28"/>
          <w:szCs w:val="28"/>
          <w:lang w:eastAsia="ru-RU"/>
        </w:rPr>
        <w:t>1.01.2016</w:t>
      </w:r>
      <w:r w:rsidRPr="00FD4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услуги общественного питания в городе предоставляли 178 предприятий на 9753 посадочных места (2014 год - 182 предприятия на 9702 посадочных места), в том числе 150 предприятий общедоступной сети на 7253 посадочных места. </w:t>
      </w:r>
    </w:p>
    <w:p w:rsidR="00FD4E52" w:rsidRPr="00FD4E52" w:rsidRDefault="00FD4E52" w:rsidP="00FD4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D4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Норматив обеспеченности посадочными местами общедоступной сети на 1000 жителей - 40 посадочных мест, в городе Ханты-Мансийске данный норматив превышен на 93% и составил 77 посадочных мест (норматив посадочных мест установлен СНиП 2.07.01-89 «Градостроительство.</w:t>
      </w:r>
      <w:proofErr w:type="gramEnd"/>
      <w:r w:rsidRPr="00FD4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FD4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Планировка и застройка городских и сельских поселений»), данный показатель в среднем по Ханты-Мансийскому автономному округу - Югре превышен на 30% от установленного норматива.</w:t>
      </w:r>
      <w:proofErr w:type="gramEnd"/>
    </w:p>
    <w:p w:rsidR="00FD4E52" w:rsidRPr="00FD4E52" w:rsidRDefault="00FD4E52" w:rsidP="00FD4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Несмотря на достигнутые высокие показатели по обеспеченности посадочными местами в данной отрасли,</w:t>
      </w:r>
      <w:r w:rsidRPr="00F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резерв для вхождения новых операторов данной отрасли. Так,</w:t>
      </w:r>
      <w:r w:rsidRPr="00FD4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рамках развития туризма в городе Ханты-Мансийске, 101 предприятие сферы питания города включено в туристскую индустрию, поэтому бизнес общественного питания по-прежнему можно расценивать как перспективное направление для инвестиций. В 2015 году реализовался инвестиционный проект по строительству ресторанного комплекса </w:t>
      </w:r>
      <w:r w:rsidRPr="00FD4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«Планета суши», «IL PATIO»</w:t>
      </w:r>
      <w:r w:rsidRPr="00FD4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Новый комплекс общей площадью 800 </w:t>
      </w:r>
      <w:proofErr w:type="spellStart"/>
      <w:r w:rsidRPr="00FD4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</w:t>
      </w:r>
      <w:proofErr w:type="gramStart"/>
      <w:r w:rsidRPr="00FD4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.м</w:t>
      </w:r>
      <w:proofErr w:type="spellEnd"/>
      <w:proofErr w:type="gramEnd"/>
      <w:r w:rsidRPr="00FD4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C73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D4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200 посадочных мест стал местом отдыха для горожан и гостей города. </w:t>
      </w:r>
    </w:p>
    <w:p w:rsidR="00FD4E52" w:rsidRPr="00FD4E52" w:rsidRDefault="00FD4E52" w:rsidP="00FD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D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введено в эксплуатацию 17 предприятий общественного питания на 833 посадочных места, в их числе предприятия 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известных международных </w:t>
      </w:r>
      <w:r w:rsidRPr="00FD4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сетевых брендов: две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4E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кофейни «</w:t>
      </w:r>
      <w:r w:rsidRPr="00FD4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Traveler</w:t>
      </w:r>
      <w:r w:rsidRPr="00FD4E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, </w:t>
      </w:r>
      <w:r w:rsidRPr="00FD4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D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coffee</w:t>
      </w:r>
      <w:r w:rsidRPr="00FD4E52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проекты реализованы на условиях франчайзинга), ресторан быстрого питания «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KFC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». </w:t>
      </w:r>
      <w:r w:rsidRPr="00FD4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Также на рынке общественного питания активно развиваются местные сетевые концепции, включая рестораны, кафе, бары и предприятия закрытого типа при предприятиях, учреждениях города (столовые, кафе, буфеты), новые заведения открываются в современных форматах с качественным предоставлением услуг потребителю в их числе</w:t>
      </w:r>
      <w:r w:rsidRPr="00FD4E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придорожное кафе «</w:t>
      </w:r>
      <w:r w:rsidRPr="00FD4E5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MIX</w:t>
      </w:r>
      <w:r w:rsidRPr="00FD4E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». </w:t>
      </w:r>
    </w:p>
    <w:p w:rsidR="00FD4E52" w:rsidRPr="00FD4E52" w:rsidRDefault="00FD4E52" w:rsidP="00FD4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4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 вновь открывшихся предприятиях отрасли общественного питания </w:t>
      </w:r>
      <w:r w:rsidR="00C14D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D4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2015 год горожане смогли получить </w:t>
      </w:r>
      <w:r w:rsidRPr="00FD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185 </w:t>
      </w:r>
      <w:r w:rsidRPr="00FD4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рабочих мест (2014 год - 158 рабочих мест). </w:t>
      </w:r>
    </w:p>
    <w:p w:rsidR="00FD4E52" w:rsidRPr="00FD4E52" w:rsidRDefault="00FD4E52" w:rsidP="00FD4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2016 отрасль общественного питания в городе будет развиваться,</w:t>
      </w:r>
      <w:r w:rsidRPr="00F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предусматривается строительство, реконструкция и перепрофилирование предприятий местных операторов, продолжится открытие сетевых</w:t>
      </w:r>
      <w:r w:rsidRPr="00FD4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заведений,</w:t>
      </w:r>
      <w:r w:rsidR="009049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14D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D4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позволит создать новые рабочие места, расширить ассортимент продукции </w:t>
      </w:r>
      <w:r w:rsidR="00C14D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D4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улучшить качество предоставляемых услуг. </w:t>
      </w:r>
    </w:p>
    <w:p w:rsidR="00FD4E52" w:rsidRPr="00FD4E52" w:rsidRDefault="00FD4E52" w:rsidP="00FD4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D4E52" w:rsidRPr="00FD4E52" w:rsidRDefault="00FD4E52" w:rsidP="00FD4E5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Бытовые услуги</w:t>
      </w:r>
    </w:p>
    <w:p w:rsidR="00FD4E52" w:rsidRPr="00FD4E52" w:rsidRDefault="00FD4E52" w:rsidP="00FD4E5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D4E5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Бытовое обслуживание </w:t>
      </w:r>
      <w:r w:rsidRPr="00FD4E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явля</w:t>
      </w:r>
      <w:r w:rsidRPr="00FD4E52">
        <w:rPr>
          <w:rFonts w:ascii="Times New Roman" w:eastAsia="Times New Roman" w:hAnsi="Times New Roman" w:cs="Times New Roman"/>
          <w:sz w:val="28"/>
          <w:szCs w:val="28"/>
          <w:lang w:eastAsia="x-none"/>
        </w:rPr>
        <w:t>ется</w:t>
      </w:r>
      <w:r w:rsidRPr="00FD4E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одним из важных звеньев в системе платных услуг</w:t>
      </w:r>
      <w:r w:rsidRPr="00FD4E5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FD4E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Населению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города </w:t>
      </w:r>
      <w:r w:rsidRPr="00FD4E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оказывается 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порядка 800 различных видов услуг, предусмотренных общероссийским классификатором услуг.</w:t>
      </w:r>
    </w:p>
    <w:p w:rsidR="00FD4E52" w:rsidRPr="00FD4E52" w:rsidRDefault="00FD4E52" w:rsidP="00FD4E5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D4E5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Бытовое обслуживание в городе в основном представлено организациями малого бизнеса, удельный вес которых составляет более 80%. </w:t>
      </w:r>
    </w:p>
    <w:p w:rsidR="00FD4E52" w:rsidRDefault="00FD4E52" w:rsidP="00FD4E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оказываемых бытовых услуг по городу в 2015 году составил 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412,3 млн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(рис. </w:t>
      </w:r>
      <w:r w:rsidR="00BE1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что на 6,5% больше в сопоставимых ценах к уровню 2014 года (2014 год - 387,1 млн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рублей). </w:t>
      </w:r>
    </w:p>
    <w:p w:rsidR="00C14DD1" w:rsidRDefault="00C14DD1" w:rsidP="00FD4E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4DD1" w:rsidRPr="00FD4E52" w:rsidRDefault="00C14DD1" w:rsidP="00FD4E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4E52" w:rsidRPr="00FD4E52" w:rsidRDefault="00FD4E52" w:rsidP="00FD4E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Рис. </w:t>
      </w:r>
      <w:r w:rsidR="00BE1D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</w:p>
    <w:p w:rsidR="00FD4E52" w:rsidRPr="00FD4E52" w:rsidRDefault="00FD4E52" w:rsidP="00FD4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бытовых услуг, млн</w:t>
      </w:r>
      <w:r w:rsidR="00920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D4E52" w:rsidRPr="00FD4E52" w:rsidRDefault="00FD4E52" w:rsidP="00FD4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B2484F" wp14:editId="378CB972">
            <wp:extent cx="5391150" cy="2438400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D4E52" w:rsidRPr="00FD4E52" w:rsidRDefault="00FD4E52" w:rsidP="00FD4E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расчете</w:t>
      </w:r>
      <w:proofErr w:type="gramEnd"/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одного жителя города за 2015 год объем оказываемых бытовых услуг составил 4367 рублей (2014 год - 4197 рублей) (рис. </w:t>
      </w:r>
      <w:r w:rsidR="00BE1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D4E52" w:rsidRPr="00FD4E52" w:rsidRDefault="00FD4E52" w:rsidP="00FD4E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D4E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Рис. </w:t>
      </w:r>
      <w:r w:rsidR="00BE1D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10</w:t>
      </w:r>
    </w:p>
    <w:p w:rsidR="00FD4E52" w:rsidRPr="00FD4E52" w:rsidRDefault="00FD4E52" w:rsidP="00FD4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бытовых услуг на душу населения, тыс. руб.</w:t>
      </w:r>
    </w:p>
    <w:p w:rsidR="00FD4E52" w:rsidRPr="00FD4E52" w:rsidRDefault="00FD4E52" w:rsidP="00FD4E5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B30D7A" wp14:editId="6C18CA99">
            <wp:extent cx="5695950" cy="2552700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D4E52" w:rsidRPr="00FD4E52" w:rsidRDefault="00FD4E52" w:rsidP="00FD4E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развития бытового обслуживания является объем оказания бытовых услуг за период 2011-2015 годов, рост которого к уровню 2011 года составил 72,0%, рост оказания бытовых услуг на душу населения составил 42,5%, что определяет степень экономического благополучия территории.</w:t>
      </w:r>
    </w:p>
    <w:p w:rsidR="00FD4E52" w:rsidRPr="00FD4E52" w:rsidRDefault="00FD4E52" w:rsidP="00FD4E5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D4E5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По состоянию на 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</w:t>
      </w:r>
      <w:r w:rsidRPr="00FD4E5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</w:t>
      </w:r>
      <w:r w:rsidRPr="00FD4E52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Pr="00FD4E5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2016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на территории города функционируют 405 объектов бытового обслуживания населения.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За пять лет 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Ханты-Мансийске 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открыт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101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объект по оказанию бытовых услуг, рост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 2011 году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составил 27,8%.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Организация объектов создало для населения города 342 новых рабочих места.</w:t>
      </w:r>
    </w:p>
    <w:p w:rsidR="00FD4E52" w:rsidRPr="00FD4E52" w:rsidRDefault="00FD4E52" w:rsidP="00FD4E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бытовых услуг идет за счет открытия салонов по изготовлению мебели, пошиву штор, салонов и студий красоты, большим спросом пользуется у населения студийные фотоуслуги. Сегодня в городе успешно работают свыше </w:t>
      </w:r>
      <w:r w:rsidR="00C14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4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50 высококлассных салонов, ателье, мастерских, которые стремятся к достижению современного сервиса - проводят мероприятия по повышению качества услуг </w:t>
      </w:r>
      <w:r w:rsidR="00C14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культуры обслуживания. </w:t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обеспечения наибольших удобств, </w:t>
      </w:r>
      <w:r w:rsidR="00C14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населения города, открываются объекты с комплексным оказанием услуг </w:t>
      </w:r>
      <w:r w:rsidR="00C14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типу «</w:t>
      </w:r>
      <w:proofErr w:type="spellStart"/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Мультисервис</w:t>
      </w:r>
      <w:proofErr w:type="spellEnd"/>
      <w:r w:rsidRPr="00FD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(ремонт обуви, ремонт одежды, ремонт металлоизделий, изготовление ключей, цифровой фотографии) в местах массового прож</w:t>
      </w:r>
      <w:r w:rsidR="00EC7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ивания </w:t>
      </w:r>
      <w:r w:rsidR="00C14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C7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пребывания горожан.</w:t>
      </w:r>
    </w:p>
    <w:p w:rsidR="00BD4D65" w:rsidRPr="00FC133B" w:rsidRDefault="00FD4E52" w:rsidP="00FD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</w:t>
      </w:r>
      <w:proofErr w:type="gramStart"/>
      <w:r w:rsidRPr="00F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proofErr w:type="gramEnd"/>
      <w:r w:rsidRPr="00F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наряду с традиционными видами интенсивно предлагаются принципиально новые виды услуг: </w:t>
      </w:r>
      <w:proofErr w:type="spellStart"/>
      <w:r w:rsidRPr="00FD4E5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клининговые</w:t>
      </w:r>
      <w:proofErr w:type="spellEnd"/>
      <w:r w:rsidRPr="00FD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(профессиональная уборка квартир, коттеджей с применением современного оборудования </w:t>
      </w:r>
      <w:r w:rsidR="00C1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материалов), дизайн жилых помещений</w:t>
      </w:r>
    </w:p>
    <w:p w:rsidR="00C726C9" w:rsidRPr="00FC133B" w:rsidRDefault="00C726C9" w:rsidP="00A367AC">
      <w:pPr>
        <w:widowControl w:val="0"/>
        <w:tabs>
          <w:tab w:val="left" w:pos="435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</w:pPr>
    </w:p>
    <w:p w:rsidR="00A367AC" w:rsidRPr="00304DE2" w:rsidRDefault="00EE15EF" w:rsidP="00EE15EF">
      <w:pPr>
        <w:pStyle w:val="aa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0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Криминогенная обстановка</w:t>
      </w:r>
      <w:proofErr w:type="gramEnd"/>
    </w:p>
    <w:p w:rsidR="003C42C0" w:rsidRPr="00FC133B" w:rsidRDefault="003C42C0" w:rsidP="003C42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C42C0" w:rsidRPr="002F2988" w:rsidRDefault="003C42C0" w:rsidP="003C42C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охраны общественного порядка</w:t>
      </w:r>
    </w:p>
    <w:p w:rsidR="00FC488B" w:rsidRPr="00FC488B" w:rsidRDefault="00FC488B" w:rsidP="00FC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 деятельности добровольных дружин, обеспечения взаимодействия с Администрацией города Ханты-Мансийска </w:t>
      </w:r>
      <w:r w:rsidR="00C14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правоохранительными органами постановлением Администрации города Ханты-Мансийска от 06.02.2015 №288 создан штаб. В 2015 году проведено 2 заседания штаба, на которых рассмотрены вопросы организации деятельности дружин </w:t>
      </w:r>
      <w:r w:rsidR="00C14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участию в охране общественного порядка. </w:t>
      </w:r>
    </w:p>
    <w:p w:rsidR="00FC488B" w:rsidRPr="00FC488B" w:rsidRDefault="00FC488B" w:rsidP="00FC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Ханты-Мансийске действует 5 добровольных народных дружин по охране общественного порядка (далее - ДНД), созданных в ОАО «Управление теплоснабжения и инженерных сетей», муниципальном </w:t>
      </w:r>
      <w:proofErr w:type="spellStart"/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водоканализационном</w:t>
      </w:r>
      <w:proofErr w:type="spellEnd"/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предприятии, муниципальном дорожно-эксплуатационном предприятии, муниципальном предприятии «Ханты-</w:t>
      </w:r>
      <w:proofErr w:type="spellStart"/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Мансийскгаз</w:t>
      </w:r>
      <w:proofErr w:type="spellEnd"/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Ханты-Мансийском технолого-педагогическом колледже.</w:t>
      </w:r>
      <w:proofErr w:type="gramEnd"/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численность членов ДНД составляет 32 человека.</w:t>
      </w:r>
    </w:p>
    <w:p w:rsidR="00FC488B" w:rsidRPr="00FC488B" w:rsidRDefault="00FC488B" w:rsidP="00FC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Дружинниками осуществлено 87 выходов на охрану общественного порядка, отработан 261 человеко-час. С их участием раскрыто 1 преступление в сфере незаконного оборота наркотических средств, выявлено и пресечено </w:t>
      </w:r>
      <w:r w:rsidR="00EC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административных правонарушения. </w:t>
      </w:r>
    </w:p>
    <w:p w:rsidR="00FC488B" w:rsidRPr="00FC488B" w:rsidRDefault="00FC488B" w:rsidP="00FC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члены добровольных народных дружин города Ханты-Мансийска принимали участие в охране общественного порядка 1 и 9 мая, </w:t>
      </w:r>
      <w:r w:rsidR="00EC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июня, 4 ноября при проведении мероприятий, посвященных празднованию </w:t>
      </w:r>
      <w:r w:rsidR="00C14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Весны и Труда, Дня Победы, Дня России и Дня города, Дня народного единства.</w:t>
      </w:r>
    </w:p>
    <w:p w:rsidR="00FC488B" w:rsidRPr="00FC488B" w:rsidRDefault="00FC488B" w:rsidP="00FC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к охране общественного порядка на период проведения праздничных мероприятий, посвященных Дню независимости России (12 июня) </w:t>
      </w:r>
      <w:r w:rsidR="00C14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Дню народного единства (4 ноября), привлекались члены Станичного казачьего общества станицы «Ермаковская». Участие в охране общественного порядка </w:t>
      </w:r>
      <w:r w:rsidR="00C14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безвозмездной основе приняли 16 казаков, которыми отработано </w:t>
      </w:r>
      <w:r w:rsidR="00EC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>80 человеко-часов.</w:t>
      </w:r>
    </w:p>
    <w:p w:rsidR="00FC488B" w:rsidRPr="00FC488B" w:rsidRDefault="00FC488B" w:rsidP="00FC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gramStart"/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 «Профилактика правонарушений в сфере обеспечения общественной безопасности и правопорядка в городе Ханты-Мансийске» на 2014-2020 годы:</w:t>
      </w:r>
    </w:p>
    <w:p w:rsidR="00FC488B" w:rsidRPr="00FC488B" w:rsidRDefault="00EC739D" w:rsidP="00FC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488B"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24.04.2015 для членов добровольных народных дружин проведен обучающий семинар, на котором дружинникам вручены удостоверения, выданы форменная одежда (светоотражающие жилеты) и атрибутика (повязки и нагрудные знаки). В ходе семинара дружинникам доведены положения законодательства, регламентирующего деятельность дружин;</w:t>
      </w:r>
    </w:p>
    <w:p w:rsidR="00FC488B" w:rsidRPr="00FC488B" w:rsidRDefault="00EC739D" w:rsidP="00FC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488B"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C488B"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беспечена работа системы видеонаблюдения за состоянием правопорядка в городе Ханты-Мансийске, видеонаблюдения автоматизированной системы управления дорожным движением, комплексов </w:t>
      </w:r>
      <w:proofErr w:type="spellStart"/>
      <w:r w:rsidR="00FC488B"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фотовидеофиксации</w:t>
      </w:r>
      <w:proofErr w:type="spellEnd"/>
      <w:r w:rsidR="00FC488B"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нарушений правил дорожного движения и идентификации транспортных средств.</w:t>
      </w:r>
    </w:p>
    <w:p w:rsidR="00FC488B" w:rsidRPr="00FC488B" w:rsidRDefault="00FC488B" w:rsidP="00FC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2015 году к системе видеонаблюдения за состоянием правопорядка дополнительно подключены 11 видеокамер, запущен в эксплуатацию комплекс </w:t>
      </w:r>
      <w:proofErr w:type="spellStart"/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видеофиксации</w:t>
      </w:r>
      <w:proofErr w:type="spellEnd"/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нарушений правил дорожного движения «Одиссей» </w:t>
      </w:r>
      <w:r w:rsidR="00EC7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ул.</w:t>
      </w:r>
      <w:r w:rsidR="00140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Объездная</w:t>
      </w:r>
      <w:proofErr w:type="gramEnd"/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C488B" w:rsidRPr="00FC488B" w:rsidRDefault="00FC488B" w:rsidP="00FC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 количество видеокамер систем видеонаблюдения, входящих </w:t>
      </w:r>
      <w:r w:rsidR="00C14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аппаратно-программный комплекс </w:t>
      </w:r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«Безопасный город», составляет 195 единиц, из них 144 по линии охраны правопорядка и 51 по линии обеспечения безопасности дорожного движения, в том числе 9 комплексов </w:t>
      </w:r>
      <w:proofErr w:type="spellStart"/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фотовидеофиксации</w:t>
      </w:r>
      <w:proofErr w:type="spellEnd"/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нарушений правил дорожного движения и идентификации транспортных средств. </w:t>
      </w:r>
    </w:p>
    <w:p w:rsidR="00FC488B" w:rsidRPr="00FC488B" w:rsidRDefault="00FC488B" w:rsidP="00FC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2015 году с помощью камер наблюдения раскрыто 4 преступления (2014 год </w:t>
      </w:r>
      <w:r w:rsidR="00EC7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</w:t>
      </w:r>
      <w:r w:rsidR="00EC7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преступлений</w:t>
      </w:r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выявлено и пресечено 384 административных правонарушения в сфере обеспечения общественного порядка (2014 год - 780). Комплексами </w:t>
      </w:r>
      <w:proofErr w:type="spellStart"/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фотовидеофиксации</w:t>
      </w:r>
      <w:proofErr w:type="spellEnd"/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выявлено 17841 нарушение правил дорожного движения (2014 год - 17334).</w:t>
      </w:r>
    </w:p>
    <w:p w:rsidR="00FC488B" w:rsidRPr="00FC488B" w:rsidRDefault="00FC488B" w:rsidP="00FC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результате</w:t>
      </w:r>
      <w:proofErr w:type="gramEnd"/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профилактических мер количество преступлений, совершенных в общественных местах в сравнении с 2014 годом снизилось </w:t>
      </w:r>
      <w:r w:rsidR="00904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2,3% и составило 667 преступлений (2014 год - 683). Количество преступлений, совершенных на улицах сократилось на 1,9% (с 354 до 347).</w:t>
      </w:r>
    </w:p>
    <w:p w:rsidR="00FC488B" w:rsidRPr="00FC488B" w:rsidRDefault="00FC488B" w:rsidP="00FC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дорожно-транспортных происшествий сократилось на 18,2%</w:t>
      </w:r>
      <w:r w:rsidR="00904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143 до 117), количество раненых при них сократилось на 16,2%</w:t>
      </w:r>
      <w:r w:rsidR="00904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185 до 155 человек), погибло 2 человека (2014 год - 13).</w:t>
      </w:r>
    </w:p>
    <w:p w:rsidR="00FC488B" w:rsidRPr="00FC488B" w:rsidRDefault="00FC488B" w:rsidP="00FC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смертности при дорожно-транспортных происшествиях составил 2,1 случая на 100 тыс. населения (2014 год - 13,9) и является самым низким показателем за последние 10 лет.</w:t>
      </w:r>
      <w:proofErr w:type="gramEnd"/>
    </w:p>
    <w:p w:rsidR="00FC488B" w:rsidRPr="00FC488B" w:rsidRDefault="00FC488B" w:rsidP="00FC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на 2016 год в сфере охраны общественного порядка </w:t>
      </w:r>
      <w:r w:rsidR="00194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оказания поддержки гражданам и их объединениям, участвующим в охране общественного порядка, создании условий для деятельности народных дружин являются:</w:t>
      </w:r>
    </w:p>
    <w:p w:rsidR="00FC488B" w:rsidRPr="00FC488B" w:rsidRDefault="00EC739D" w:rsidP="00FC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488B"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численности добровольных народных формирований;</w:t>
      </w:r>
    </w:p>
    <w:p w:rsidR="00FC488B" w:rsidRPr="00FC488B" w:rsidRDefault="00EC739D" w:rsidP="00FC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488B"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систем видеонаблюдения и </w:t>
      </w:r>
      <w:proofErr w:type="spellStart"/>
      <w:r w:rsidR="00FC488B"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фотовидеофиксации</w:t>
      </w:r>
      <w:proofErr w:type="spellEnd"/>
      <w:r w:rsidR="00FC488B" w:rsidRPr="00F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нарушений правил дорожного движения в городе Ханты-Мансийске.</w:t>
      </w:r>
      <w:r w:rsidR="00FC488B" w:rsidRPr="00FC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88B" w:rsidRPr="00FC488B" w:rsidRDefault="00FC488B" w:rsidP="00FC48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7E3E" w:rsidRPr="00C63597" w:rsidRDefault="00ED5E9A" w:rsidP="00ED5E9A">
      <w:pPr>
        <w:pStyle w:val="aa"/>
        <w:widowControl w:val="0"/>
        <w:numPr>
          <w:ilvl w:val="1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2.14._Организация_и"/>
      <w:bookmarkEnd w:id="3"/>
      <w:r w:rsidRPr="00C6359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lastRenderedPageBreak/>
        <w:t>Состояние жилищного фонда</w:t>
      </w:r>
    </w:p>
    <w:p w:rsidR="00DD0384" w:rsidRPr="00FC133B" w:rsidRDefault="00DD0384" w:rsidP="00AA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деятельности Администрации города Ханты-Мансийска в сфере жилищно-коммунального хозяйства являются повышение уровня и качества предоставления жилищно-коммунальных услуг, улучшение условий проживания населения.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Закона Ханты-Мансийского автономного округа - Югры </w:t>
      </w:r>
      <w:r w:rsidR="00C14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01.07.2013 №54-оз «Об организации проведения капитального ремонта общего имущества в многоквартирных домах, расположенных на территории </w:t>
      </w:r>
      <w:r w:rsidR="00C14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- Югры» в 2015 году продолжено проведение инвентаризации многоквартирных домов, расположенных </w:t>
      </w:r>
      <w:r w:rsidR="00C14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города.</w:t>
      </w:r>
      <w:proofErr w:type="gramEnd"/>
      <w:r w:rsidRPr="0031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Собираемость обязательных взносов на капитальный ремонт по итогам 2015 года составила 90,9% (в 2014 году - 82%), что на 24,2% больше, </w:t>
      </w:r>
      <w:r w:rsidR="00C14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среднем по Югре.</w:t>
      </w:r>
    </w:p>
    <w:p w:rsidR="00313FFC" w:rsidRPr="00313FFC" w:rsidRDefault="00313FFC" w:rsidP="001B4C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13FFC">
        <w:rPr>
          <w:rFonts w:ascii="Times New Roman" w:eastAsia="Calibri" w:hAnsi="Times New Roman" w:cs="Times New Roman"/>
          <w:sz w:val="28"/>
        </w:rPr>
        <w:t xml:space="preserve">В соответствии с постановлением Администрации города Ханты-Мансийска от 09.08.2012 №947 в 2015 году на условиях </w:t>
      </w:r>
      <w:proofErr w:type="spellStart"/>
      <w:r w:rsidRPr="00313FFC">
        <w:rPr>
          <w:rFonts w:ascii="Times New Roman" w:eastAsia="Calibri" w:hAnsi="Times New Roman" w:cs="Times New Roman"/>
          <w:sz w:val="28"/>
        </w:rPr>
        <w:t>софинансирования</w:t>
      </w:r>
      <w:proofErr w:type="spellEnd"/>
      <w:r w:rsidRPr="00313FFC">
        <w:rPr>
          <w:rFonts w:ascii="Times New Roman" w:eastAsia="Calibri" w:hAnsi="Times New Roman" w:cs="Times New Roman"/>
          <w:sz w:val="28"/>
        </w:rPr>
        <w:t xml:space="preserve"> произведен капитальный ремонт 5 многоквартирных домов: </w:t>
      </w:r>
      <w:proofErr w:type="spellStart"/>
      <w:r w:rsidRPr="00313FFC">
        <w:rPr>
          <w:rFonts w:ascii="Times New Roman" w:eastAsia="Calibri" w:hAnsi="Times New Roman" w:cs="Times New Roman"/>
          <w:sz w:val="28"/>
        </w:rPr>
        <w:t>ул</w:t>
      </w:r>
      <w:proofErr w:type="gramStart"/>
      <w:r w:rsidRPr="00313FFC">
        <w:rPr>
          <w:rFonts w:ascii="Times New Roman" w:eastAsia="Calibri" w:hAnsi="Times New Roman" w:cs="Times New Roman"/>
          <w:sz w:val="28"/>
        </w:rPr>
        <w:t>.С</w:t>
      </w:r>
      <w:proofErr w:type="gramEnd"/>
      <w:r w:rsidRPr="00313FFC">
        <w:rPr>
          <w:rFonts w:ascii="Times New Roman" w:eastAsia="Calibri" w:hAnsi="Times New Roman" w:cs="Times New Roman"/>
          <w:sz w:val="28"/>
        </w:rPr>
        <w:t>троителей</w:t>
      </w:r>
      <w:proofErr w:type="spellEnd"/>
      <w:r w:rsidRPr="00313FFC">
        <w:rPr>
          <w:rFonts w:ascii="Times New Roman" w:eastAsia="Calibri" w:hAnsi="Times New Roman" w:cs="Times New Roman"/>
          <w:sz w:val="28"/>
        </w:rPr>
        <w:t xml:space="preserve">, д.89; </w:t>
      </w:r>
      <w:r w:rsidRPr="00313FFC">
        <w:rPr>
          <w:rFonts w:ascii="Times New Roman" w:eastAsia="Calibri" w:hAnsi="Times New Roman" w:cs="Times New Roman"/>
          <w:sz w:val="28"/>
        </w:rPr>
        <w:br/>
      </w:r>
      <w:proofErr w:type="spellStart"/>
      <w:r w:rsidRPr="00313FFC">
        <w:rPr>
          <w:rFonts w:ascii="Times New Roman" w:eastAsia="Calibri" w:hAnsi="Times New Roman" w:cs="Times New Roman"/>
          <w:sz w:val="28"/>
        </w:rPr>
        <w:t>ул.Труда</w:t>
      </w:r>
      <w:proofErr w:type="spellEnd"/>
      <w:r w:rsidRPr="00313FFC">
        <w:rPr>
          <w:rFonts w:ascii="Times New Roman" w:eastAsia="Calibri" w:hAnsi="Times New Roman" w:cs="Times New Roman"/>
          <w:sz w:val="28"/>
        </w:rPr>
        <w:t xml:space="preserve">, д.2; </w:t>
      </w:r>
      <w:proofErr w:type="spellStart"/>
      <w:r w:rsidRPr="00313FFC">
        <w:rPr>
          <w:rFonts w:ascii="Times New Roman" w:eastAsia="Calibri" w:hAnsi="Times New Roman" w:cs="Times New Roman"/>
          <w:sz w:val="28"/>
        </w:rPr>
        <w:t>ул.Строителей</w:t>
      </w:r>
      <w:proofErr w:type="spellEnd"/>
      <w:r w:rsidRPr="00313FFC">
        <w:rPr>
          <w:rFonts w:ascii="Times New Roman" w:eastAsia="Calibri" w:hAnsi="Times New Roman" w:cs="Times New Roman"/>
          <w:sz w:val="28"/>
        </w:rPr>
        <w:t xml:space="preserve">, д.107; </w:t>
      </w:r>
      <w:proofErr w:type="spellStart"/>
      <w:r w:rsidRPr="00313FFC">
        <w:rPr>
          <w:rFonts w:ascii="Times New Roman" w:eastAsia="Calibri" w:hAnsi="Times New Roman" w:cs="Times New Roman"/>
          <w:sz w:val="28"/>
        </w:rPr>
        <w:t>ул.Спортивная</w:t>
      </w:r>
      <w:proofErr w:type="spellEnd"/>
      <w:r w:rsidRPr="00313FFC">
        <w:rPr>
          <w:rFonts w:ascii="Times New Roman" w:eastAsia="Calibri" w:hAnsi="Times New Roman" w:cs="Times New Roman"/>
          <w:sz w:val="28"/>
        </w:rPr>
        <w:t xml:space="preserve">, д.10; </w:t>
      </w:r>
      <w:proofErr w:type="spellStart"/>
      <w:r w:rsidRPr="00313FFC">
        <w:rPr>
          <w:rFonts w:ascii="Times New Roman" w:eastAsia="Calibri" w:hAnsi="Times New Roman" w:cs="Times New Roman"/>
          <w:sz w:val="28"/>
        </w:rPr>
        <w:t>ул.Ключевая</w:t>
      </w:r>
      <w:proofErr w:type="spellEnd"/>
      <w:r w:rsidRPr="00313FFC">
        <w:rPr>
          <w:rFonts w:ascii="Times New Roman" w:eastAsia="Calibri" w:hAnsi="Times New Roman" w:cs="Times New Roman"/>
          <w:sz w:val="28"/>
        </w:rPr>
        <w:t>, д.4.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капитальный ремонт 84 муниципальных квартир на общую сумму 15733 тыс. рублей.</w:t>
      </w:r>
    </w:p>
    <w:p w:rsidR="00313FFC" w:rsidRPr="00313FFC" w:rsidRDefault="00313FFC" w:rsidP="001B4C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13FFC">
        <w:rPr>
          <w:rFonts w:ascii="Times New Roman" w:eastAsia="Calibri" w:hAnsi="Times New Roman" w:cs="Times New Roman"/>
          <w:sz w:val="28"/>
        </w:rPr>
        <w:t xml:space="preserve">В 2015 году выполнялись работы по капитальному ремонту (ремонт инженерных сетей теплоснабжения, водоснабжения, водоотведения, электроснабжения, кровель, мест общего пользования, входных групп, несущих перекрытий, а также обшив и утепление) 44 </w:t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</w:t>
      </w:r>
      <w:r w:rsidRPr="00313FFC">
        <w:rPr>
          <w:rFonts w:ascii="Times New Roman" w:eastAsia="Calibri" w:hAnsi="Times New Roman" w:cs="Times New Roman"/>
          <w:sz w:val="28"/>
        </w:rPr>
        <w:t xml:space="preserve"> на общую стоимость работ 31,232 млн. рублей.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В целях исполнения действующего законодательства приемка выполнения работ по капитальному ремонту осуществлялась при обязательном участии Общественного совета при Главе Администрации города Ханты-Мансийска </w:t>
      </w:r>
      <w:r w:rsidR="00C14DD1">
        <w:rPr>
          <w:rFonts w:ascii="Times New Roman" w:eastAsia="Calibri" w:hAnsi="Times New Roman" w:cs="Times New Roman"/>
          <w:sz w:val="28"/>
          <w:szCs w:val="28"/>
        </w:rPr>
        <w:br/>
      </w: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по вопросам жилищно-коммунального хозяйства, в состав которого вошли </w:t>
      </w:r>
      <w:r w:rsidRPr="00313FFC">
        <w:rPr>
          <w:rFonts w:ascii="Times New Roman" w:eastAsia="Calibri" w:hAnsi="Times New Roman" w:cs="Times New Roman"/>
          <w:sz w:val="28"/>
          <w:szCs w:val="28"/>
        </w:rPr>
        <w:br/>
        <w:t>25 человек, в том числе председатели Советов многоквартирных домов, активные жильцы, руководители управляющих компаний и ТСЖ</w:t>
      </w:r>
      <w:r w:rsidRPr="00313FFC">
        <w:rPr>
          <w:rFonts w:ascii="Times New Roman" w:eastAsia="Calibri" w:hAnsi="Times New Roman" w:cs="Times New Roman"/>
          <w:sz w:val="28"/>
        </w:rPr>
        <w:t>.</w:t>
      </w:r>
      <w:proofErr w:type="gramEnd"/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13FFC">
        <w:rPr>
          <w:rFonts w:ascii="Times New Roman" w:eastAsia="Calibri" w:hAnsi="Times New Roman" w:cs="Times New Roman"/>
          <w:sz w:val="28"/>
        </w:rPr>
        <w:t>В 2015 году представителями Общественного совета при Главе Администрации города Ханты-Мансийска по вопросам жилищно-коммунального хозяйства принято более 100 человек на личных приемах, проведено 6 заседаний, на которых заслушаны доклады и отчеты руководителей органов Администрации города Ханты-Мансийска. Инициировано проведение отчетных собраний управляющими организациями города.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В 2015 году управляющие организации города Ханты-Мансийска провели работу по лицензированию своей деятельности в соответствии с Федеральным законом от 21.07.2014 №255-ФЗ «О внесении изменений в Жилищный кодекс Российской Федерации, отдельные законодательные акты Российской Федерации и признании </w:t>
      </w:r>
      <w:proofErr w:type="gramStart"/>
      <w:r w:rsidRPr="00313FFC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Федерации». Из 16 управляющих организаций к 01.06.2015 получили лицензии 13, остальные 3 организации прекратили деятельность по управлению </w:t>
      </w:r>
      <w:r w:rsidRPr="00313F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многоквартирными домами. К концу 2015 года дополнительно зарегистрировались и получили лицензии 2 новые управляющие организации (ООО «Атлант» </w:t>
      </w:r>
      <w:proofErr w:type="gramStart"/>
      <w:r w:rsidRPr="00313FFC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313FFC">
        <w:rPr>
          <w:rFonts w:ascii="Times New Roman" w:eastAsia="Calibri" w:hAnsi="Times New Roman" w:cs="Times New Roman"/>
          <w:sz w:val="28"/>
          <w:szCs w:val="28"/>
        </w:rPr>
        <w:t>Энергоэксперт</w:t>
      </w:r>
      <w:proofErr w:type="spellEnd"/>
      <w:r w:rsidRPr="00313FFC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технического состояния на 31.12.2015 число многоквартирных домов</w:t>
      </w:r>
      <w:r w:rsidR="0030507E">
        <w:rPr>
          <w:rFonts w:ascii="Times New Roman" w:eastAsia="Calibri" w:hAnsi="Times New Roman" w:cs="Times New Roman"/>
          <w:sz w:val="28"/>
          <w:szCs w:val="28"/>
        </w:rPr>
        <w:t xml:space="preserve"> составляло 1163 единицы (в 2014 году - 1</w:t>
      </w:r>
      <w:r w:rsidRPr="00313FFC">
        <w:rPr>
          <w:rFonts w:ascii="Times New Roman" w:eastAsia="Calibri" w:hAnsi="Times New Roman" w:cs="Times New Roman"/>
          <w:sz w:val="28"/>
          <w:szCs w:val="28"/>
        </w:rPr>
        <w:t>154 ед.) о</w:t>
      </w:r>
      <w:r w:rsidR="0030507E">
        <w:rPr>
          <w:rFonts w:ascii="Times New Roman" w:eastAsia="Calibri" w:hAnsi="Times New Roman" w:cs="Times New Roman"/>
          <w:sz w:val="28"/>
          <w:szCs w:val="28"/>
        </w:rPr>
        <w:t>бщей площадью жилых помещений 1</w:t>
      </w:r>
      <w:r w:rsidRPr="00313FFC">
        <w:rPr>
          <w:rFonts w:ascii="Times New Roman" w:eastAsia="Calibri" w:hAnsi="Times New Roman" w:cs="Times New Roman"/>
          <w:sz w:val="28"/>
          <w:szCs w:val="28"/>
        </w:rPr>
        <w:t>6</w:t>
      </w:r>
      <w:r w:rsidR="0030507E">
        <w:rPr>
          <w:rFonts w:ascii="Times New Roman" w:eastAsia="Calibri" w:hAnsi="Times New Roman" w:cs="Times New Roman"/>
          <w:sz w:val="28"/>
          <w:szCs w:val="28"/>
        </w:rPr>
        <w:t xml:space="preserve">76,9 тыс. </w:t>
      </w:r>
      <w:proofErr w:type="spellStart"/>
      <w:r w:rsidR="0030507E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="0030507E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="0030507E">
        <w:rPr>
          <w:rFonts w:ascii="Times New Roman" w:eastAsia="Calibri" w:hAnsi="Times New Roman" w:cs="Times New Roman"/>
          <w:sz w:val="28"/>
          <w:szCs w:val="28"/>
        </w:rPr>
        <w:t xml:space="preserve"> (в 2014 году - 1</w:t>
      </w: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563 тыс. </w:t>
      </w:r>
      <w:proofErr w:type="spellStart"/>
      <w:r w:rsidRPr="00313FF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313FF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FC">
        <w:rPr>
          <w:rFonts w:ascii="Times New Roman" w:eastAsia="Calibri" w:hAnsi="Times New Roman" w:cs="Times New Roman"/>
          <w:sz w:val="28"/>
          <w:szCs w:val="28"/>
        </w:rPr>
        <w:t>Из общего количества многоквартирных домов, в перечень домов, находящихся под управлением лицензированными управляющими организациями, вошло 266 домов, из них 115 многоквартирных домов находится в управлении муниципального предприятия «Жилищно-коммунальное управление».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Организована работа </w:t>
      </w:r>
      <w:proofErr w:type="gramStart"/>
      <w:r w:rsidRPr="00313FFC">
        <w:rPr>
          <w:rFonts w:ascii="Times New Roman" w:eastAsia="Calibri" w:hAnsi="Times New Roman" w:cs="Times New Roman"/>
          <w:sz w:val="28"/>
          <w:szCs w:val="28"/>
        </w:rPr>
        <w:t>с собственниками жилых помещений в части реализации их обязанностей по выбору способа управления многоквартирными домами в соответствии с частью</w:t>
      </w:r>
      <w:proofErr w:type="gramEnd"/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 2 статьи 161 Жилищного кодекса Российской Федерации. В 2015 году инициировано проведение более 100 общих собраний собственников по переходу с непосредственного способа управления (по домам </w:t>
      </w:r>
      <w:r w:rsidR="00C14DD1">
        <w:rPr>
          <w:rFonts w:ascii="Times New Roman" w:eastAsia="Calibri" w:hAnsi="Times New Roman" w:cs="Times New Roman"/>
          <w:sz w:val="28"/>
          <w:szCs w:val="28"/>
        </w:rPr>
        <w:br/>
      </w: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с количеством более 30 квартир) на управление управляющей организацией. Проведены открытые конкурсы по отбору управляющей организации </w:t>
      </w:r>
      <w:r w:rsidR="00C14DD1">
        <w:rPr>
          <w:rFonts w:ascii="Times New Roman" w:eastAsia="Calibri" w:hAnsi="Times New Roman" w:cs="Times New Roman"/>
          <w:sz w:val="28"/>
          <w:szCs w:val="28"/>
        </w:rPr>
        <w:br/>
      </w: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для управления 9 многоквартирными домами в городе Ханты-Мансийске, </w:t>
      </w:r>
      <w:r w:rsidR="00C14DD1">
        <w:rPr>
          <w:rFonts w:ascii="Times New Roman" w:eastAsia="Calibri" w:hAnsi="Times New Roman" w:cs="Times New Roman"/>
          <w:sz w:val="28"/>
          <w:szCs w:val="28"/>
        </w:rPr>
        <w:br/>
      </w: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по результатам которых с собственниками заключены договоры управления. 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Оснащенность общедомовыми приборами учета по всем коммунальным услугам (тепло, вода, свет) составляет 100%.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83D" w:rsidRDefault="0019483D" w:rsidP="001B4C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FFC" w:rsidRPr="00313FFC" w:rsidRDefault="00313FFC" w:rsidP="001B4C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FFC">
        <w:rPr>
          <w:rFonts w:ascii="Times New Roman" w:eastAsia="Calibri" w:hAnsi="Times New Roman" w:cs="Times New Roman"/>
          <w:b/>
          <w:sz w:val="28"/>
          <w:szCs w:val="28"/>
        </w:rPr>
        <w:t>Водоснабжение и водоотведение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Деятельность в области водоснабжения и водоотведения на территории города осуществляется муниципальным водоканализационным предприятием. </w:t>
      </w:r>
    </w:p>
    <w:p w:rsid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В 2015 году план по добыче воды выполнен на 97,46% (в 2014 году - 98,3%). Объем поднятой воды составил 5483,41 </w:t>
      </w:r>
      <w:proofErr w:type="spellStart"/>
      <w:r w:rsidRPr="00313FF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313FFC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313FFC">
        <w:rPr>
          <w:rFonts w:ascii="Times New Roman" w:eastAsia="Calibri" w:hAnsi="Times New Roman" w:cs="Times New Roman"/>
          <w:sz w:val="28"/>
          <w:szCs w:val="28"/>
        </w:rPr>
        <w:t>уб.м</w:t>
      </w:r>
      <w:proofErr w:type="spellEnd"/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/год, или 14,98 </w:t>
      </w:r>
      <w:proofErr w:type="spellStart"/>
      <w:r w:rsidRPr="00313FFC">
        <w:rPr>
          <w:rFonts w:ascii="Times New Roman" w:eastAsia="Calibri" w:hAnsi="Times New Roman" w:cs="Times New Roman"/>
          <w:sz w:val="28"/>
          <w:szCs w:val="28"/>
        </w:rPr>
        <w:t>тыс.куб.м</w:t>
      </w:r>
      <w:proofErr w:type="spellEnd"/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/сутки (в 2014 году - 5543,79 </w:t>
      </w:r>
      <w:proofErr w:type="spellStart"/>
      <w:r w:rsidRPr="00313FFC">
        <w:rPr>
          <w:rFonts w:ascii="Times New Roman" w:eastAsia="Calibri" w:hAnsi="Times New Roman" w:cs="Times New Roman"/>
          <w:sz w:val="28"/>
          <w:szCs w:val="28"/>
        </w:rPr>
        <w:t>тыс.куб.м</w:t>
      </w:r>
      <w:proofErr w:type="spellEnd"/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/год или 15,19 тыс. </w:t>
      </w:r>
      <w:proofErr w:type="spellStart"/>
      <w:r w:rsidRPr="00313FFC">
        <w:rPr>
          <w:rFonts w:ascii="Times New Roman" w:eastAsia="Calibri" w:hAnsi="Times New Roman" w:cs="Times New Roman"/>
          <w:sz w:val="28"/>
          <w:szCs w:val="28"/>
        </w:rPr>
        <w:t>куб.м</w:t>
      </w:r>
      <w:proofErr w:type="spellEnd"/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/сутки). По данным 2015 года максимальный суточный объем добычи зафиксирован в феврале месяце - </w:t>
      </w:r>
      <w:r w:rsidR="00C14DD1">
        <w:rPr>
          <w:rFonts w:ascii="Times New Roman" w:eastAsia="Calibri" w:hAnsi="Times New Roman" w:cs="Times New Roman"/>
          <w:sz w:val="28"/>
          <w:szCs w:val="28"/>
        </w:rPr>
        <w:br/>
      </w: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16,72 тыс. </w:t>
      </w:r>
      <w:proofErr w:type="spellStart"/>
      <w:r w:rsidRPr="00313FFC">
        <w:rPr>
          <w:rFonts w:ascii="Times New Roman" w:eastAsia="Calibri" w:hAnsi="Times New Roman" w:cs="Times New Roman"/>
          <w:sz w:val="28"/>
          <w:szCs w:val="28"/>
        </w:rPr>
        <w:t>куб</w:t>
      </w:r>
      <w:proofErr w:type="gramStart"/>
      <w:r w:rsidRPr="00313FFC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/сутки, а минимальный суточный объем в июле составил </w:t>
      </w:r>
      <w:r w:rsidR="00C14DD1">
        <w:rPr>
          <w:rFonts w:ascii="Times New Roman" w:eastAsia="Calibri" w:hAnsi="Times New Roman" w:cs="Times New Roman"/>
          <w:sz w:val="28"/>
          <w:szCs w:val="28"/>
        </w:rPr>
        <w:br/>
      </w: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13,31 тыс. </w:t>
      </w:r>
      <w:proofErr w:type="spellStart"/>
      <w:r w:rsidRPr="00313FFC">
        <w:rPr>
          <w:rFonts w:ascii="Times New Roman" w:eastAsia="Calibri" w:hAnsi="Times New Roman" w:cs="Times New Roman"/>
          <w:sz w:val="28"/>
          <w:szCs w:val="28"/>
        </w:rPr>
        <w:t>куб.м</w:t>
      </w:r>
      <w:proofErr w:type="spellEnd"/>
      <w:r w:rsidRPr="00313FFC">
        <w:rPr>
          <w:rFonts w:ascii="Times New Roman" w:eastAsia="Calibri" w:hAnsi="Times New Roman" w:cs="Times New Roman"/>
          <w:sz w:val="28"/>
          <w:szCs w:val="28"/>
        </w:rPr>
        <w:t>/сутки, что не превышает разрешенный лицензированный отбор. На водозаборе общий фонд скважин насосной станции первого подъема составляет 19 скважин, из них 11 действующих (10 из них высокодебитные и одна резервная скважины), 8 наблюдательных.</w:t>
      </w:r>
    </w:p>
    <w:p w:rsidR="007948DE" w:rsidRPr="007948DE" w:rsidRDefault="007948DE" w:rsidP="00794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DE">
        <w:rPr>
          <w:rFonts w:ascii="Times New Roman" w:eastAsia="Calibri" w:hAnsi="Times New Roman" w:cs="Times New Roman"/>
          <w:sz w:val="28"/>
          <w:szCs w:val="28"/>
        </w:rPr>
        <w:t xml:space="preserve">Объем подачи питьевой воды в 2015 году составил 5221,4 тыс. </w:t>
      </w:r>
      <w:proofErr w:type="spellStart"/>
      <w:r w:rsidRPr="007948DE">
        <w:rPr>
          <w:rFonts w:ascii="Times New Roman" w:eastAsia="Calibri" w:hAnsi="Times New Roman" w:cs="Times New Roman"/>
          <w:sz w:val="28"/>
          <w:szCs w:val="28"/>
        </w:rPr>
        <w:t>куб</w:t>
      </w:r>
      <w:proofErr w:type="gramStart"/>
      <w:r w:rsidRPr="007948DE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948DE">
        <w:rPr>
          <w:rFonts w:ascii="Times New Roman" w:eastAsia="Calibri" w:hAnsi="Times New Roman" w:cs="Times New Roman"/>
          <w:sz w:val="28"/>
          <w:szCs w:val="28"/>
        </w:rPr>
        <w:t xml:space="preserve">/год, </w:t>
      </w:r>
      <w:r w:rsidR="0087375B">
        <w:rPr>
          <w:rFonts w:ascii="Times New Roman" w:eastAsia="Calibri" w:hAnsi="Times New Roman" w:cs="Times New Roman"/>
          <w:sz w:val="28"/>
          <w:szCs w:val="28"/>
        </w:rPr>
        <w:br/>
      </w:r>
      <w:r w:rsidRPr="007948DE">
        <w:rPr>
          <w:rFonts w:ascii="Times New Roman" w:eastAsia="Calibri" w:hAnsi="Times New Roman" w:cs="Times New Roman"/>
          <w:sz w:val="28"/>
          <w:szCs w:val="28"/>
        </w:rPr>
        <w:t xml:space="preserve">что в среднесуточном выражении составляет 14,3 тыс. </w:t>
      </w:r>
      <w:proofErr w:type="spellStart"/>
      <w:r w:rsidRPr="007948DE">
        <w:rPr>
          <w:rFonts w:ascii="Times New Roman" w:eastAsia="Calibri" w:hAnsi="Times New Roman" w:cs="Times New Roman"/>
          <w:sz w:val="28"/>
          <w:szCs w:val="28"/>
        </w:rPr>
        <w:t>куб.м</w:t>
      </w:r>
      <w:proofErr w:type="spellEnd"/>
      <w:r w:rsidRPr="007948DE">
        <w:rPr>
          <w:rFonts w:ascii="Times New Roman" w:eastAsia="Calibri" w:hAnsi="Times New Roman" w:cs="Times New Roman"/>
          <w:sz w:val="28"/>
          <w:szCs w:val="28"/>
        </w:rPr>
        <w:t xml:space="preserve">/сутки. В сравнении </w:t>
      </w:r>
      <w:r w:rsidR="0087375B">
        <w:rPr>
          <w:rFonts w:ascii="Times New Roman" w:eastAsia="Calibri" w:hAnsi="Times New Roman" w:cs="Times New Roman"/>
          <w:sz w:val="28"/>
          <w:szCs w:val="28"/>
        </w:rPr>
        <w:br/>
      </w:r>
      <w:r w:rsidRPr="007948DE">
        <w:rPr>
          <w:rFonts w:ascii="Times New Roman" w:eastAsia="Calibri" w:hAnsi="Times New Roman" w:cs="Times New Roman"/>
          <w:sz w:val="28"/>
          <w:szCs w:val="28"/>
        </w:rPr>
        <w:t xml:space="preserve">с 2014 годом объем подачи воды за 2015 год уменьшился на 1,7%. Объем воды, реализованный абонентам, уменьшился на 0,2% (2015 год - 4837,25 тыс. </w:t>
      </w:r>
      <w:proofErr w:type="spellStart"/>
      <w:r w:rsidRPr="007948DE">
        <w:rPr>
          <w:rFonts w:ascii="Times New Roman" w:eastAsia="Calibri" w:hAnsi="Times New Roman" w:cs="Times New Roman"/>
          <w:sz w:val="28"/>
          <w:szCs w:val="28"/>
        </w:rPr>
        <w:t>куб</w:t>
      </w:r>
      <w:proofErr w:type="gramStart"/>
      <w:r w:rsidRPr="007948DE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948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948DE">
        <w:rPr>
          <w:rFonts w:ascii="Times New Roman" w:eastAsia="Calibri" w:hAnsi="Times New Roman" w:cs="Times New Roman"/>
          <w:sz w:val="28"/>
          <w:szCs w:val="28"/>
        </w:rPr>
        <w:t xml:space="preserve">2014 год - 4846,62 тыс. </w:t>
      </w:r>
      <w:proofErr w:type="spellStart"/>
      <w:r w:rsidRPr="007948DE">
        <w:rPr>
          <w:rFonts w:ascii="Times New Roman" w:eastAsia="Calibri" w:hAnsi="Times New Roman" w:cs="Times New Roman"/>
          <w:sz w:val="28"/>
          <w:szCs w:val="28"/>
        </w:rPr>
        <w:t>куб.м</w:t>
      </w:r>
      <w:proofErr w:type="spellEnd"/>
      <w:r w:rsidRPr="007948D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948DE" w:rsidRDefault="007948DE" w:rsidP="00794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DE">
        <w:rPr>
          <w:rFonts w:ascii="Times New Roman" w:eastAsia="Calibri" w:hAnsi="Times New Roman" w:cs="Times New Roman"/>
          <w:sz w:val="28"/>
          <w:szCs w:val="28"/>
        </w:rPr>
        <w:t xml:space="preserve">За 2015 год построено водопроводных сетей общей протяженностью 7,8 км. Завершены работы по строительству резервуара объемом 10 тыс. </w:t>
      </w:r>
      <w:proofErr w:type="spellStart"/>
      <w:r w:rsidRPr="007948DE">
        <w:rPr>
          <w:rFonts w:ascii="Times New Roman" w:eastAsia="Calibri" w:hAnsi="Times New Roman" w:cs="Times New Roman"/>
          <w:sz w:val="28"/>
          <w:szCs w:val="28"/>
        </w:rPr>
        <w:t>куб</w:t>
      </w:r>
      <w:proofErr w:type="gramStart"/>
      <w:r w:rsidRPr="007948DE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9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375B">
        <w:rPr>
          <w:rFonts w:ascii="Times New Roman" w:eastAsia="Calibri" w:hAnsi="Times New Roman" w:cs="Times New Roman"/>
          <w:sz w:val="28"/>
          <w:szCs w:val="28"/>
        </w:rPr>
        <w:br/>
      </w:r>
      <w:r w:rsidRPr="007948DE">
        <w:rPr>
          <w:rFonts w:ascii="Times New Roman" w:eastAsia="Calibri" w:hAnsi="Times New Roman" w:cs="Times New Roman"/>
          <w:sz w:val="28"/>
          <w:szCs w:val="28"/>
        </w:rPr>
        <w:t xml:space="preserve">на водозаборе «Северный». В связи с переключением потребителей </w:t>
      </w:r>
      <w:r w:rsidR="0087375B">
        <w:rPr>
          <w:rFonts w:ascii="Times New Roman" w:eastAsia="Calibri" w:hAnsi="Times New Roman" w:cs="Times New Roman"/>
          <w:sz w:val="28"/>
          <w:szCs w:val="28"/>
        </w:rPr>
        <w:br/>
      </w:r>
      <w:r w:rsidRPr="007948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централизованный водопровод ликвидировано 35% водоразборных колонок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948DE">
        <w:rPr>
          <w:rFonts w:ascii="Times New Roman" w:eastAsia="Calibri" w:hAnsi="Times New Roman" w:cs="Times New Roman"/>
          <w:sz w:val="28"/>
          <w:szCs w:val="28"/>
        </w:rPr>
        <w:t>(17 единиц).</w:t>
      </w:r>
    </w:p>
    <w:p w:rsidR="007948DE" w:rsidRDefault="007948DE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</w:pPr>
    </w:p>
    <w:p w:rsidR="000722F0" w:rsidRDefault="000722F0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</w:pPr>
    </w:p>
    <w:p w:rsidR="0087375B" w:rsidRDefault="0087375B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</w:pPr>
    </w:p>
    <w:p w:rsidR="000722F0" w:rsidRDefault="000722F0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</w:pPr>
    </w:p>
    <w:p w:rsidR="000722F0" w:rsidRDefault="000722F0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</w:pPr>
    </w:p>
    <w:p w:rsidR="000722F0" w:rsidRPr="00313FFC" w:rsidRDefault="000722F0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</w:pPr>
    </w:p>
    <w:p w:rsidR="00313FFC" w:rsidRPr="00313FFC" w:rsidRDefault="00313FFC" w:rsidP="001B4CDD">
      <w:pPr>
        <w:suppressAutoHyphens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Рис. </w:t>
      </w:r>
      <w:r w:rsidR="007948D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11</w:t>
      </w:r>
    </w:p>
    <w:p w:rsidR="00313FFC" w:rsidRPr="00313FFC" w:rsidRDefault="00313FFC" w:rsidP="001B4C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3FFC">
        <w:rPr>
          <w:rFonts w:ascii="Times New Roman" w:eastAsia="Calibri" w:hAnsi="Times New Roman" w:cs="Times New Roman"/>
          <w:sz w:val="28"/>
          <w:szCs w:val="28"/>
        </w:rPr>
        <w:t>Обеспеченность жилищного фонда холодной водой, %</w:t>
      </w:r>
    </w:p>
    <w:p w:rsidR="00313FFC" w:rsidRPr="00313FFC" w:rsidRDefault="00313FFC" w:rsidP="001B4C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214227" wp14:editId="2CF37B4E">
            <wp:extent cx="5742432" cy="2114093"/>
            <wp:effectExtent l="0" t="0" r="0" b="635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722F0" w:rsidRDefault="000722F0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</w:pP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</w:pPr>
      <w:r w:rsidRPr="00313FFC"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  <w:t xml:space="preserve">В течение 2015 года муниципальным водоканализационным предприятием </w:t>
      </w:r>
      <w:r w:rsidRPr="00313FFC">
        <w:rPr>
          <w:rFonts w:ascii="Times New Roman" w:eastAsia="Calibri" w:hAnsi="Times New Roman" w:cs="Times New Roman"/>
          <w:sz w:val="28"/>
          <w:szCs w:val="28"/>
        </w:rPr>
        <w:t>«Водоканал» (далее – МП «Водоканал»)</w:t>
      </w:r>
      <w:r w:rsidRPr="00313FFC"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  <w:t xml:space="preserve"> выполнены следующие работы на сетях водоснабжения:</w:t>
      </w:r>
    </w:p>
    <w:p w:rsidR="00313FFC" w:rsidRPr="00313FFC" w:rsidRDefault="0030507E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  <w:t xml:space="preserve">- </w:t>
      </w:r>
      <w:r w:rsidR="00313FFC" w:rsidRPr="00313FFC"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  <w:t xml:space="preserve">промыто 30 км сетей в полиэтиленовом исполнении (в 2014 году - 18 км) </w:t>
      </w:r>
      <w:r w:rsidR="0087375B"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  <w:br/>
      </w:r>
      <w:r w:rsidR="00313FFC" w:rsidRPr="00313FFC"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  <w:t>и 48,7 км сетей в стальном исполнении (в 2014 году - 22 км), проложенных совместно с тепловыми сетями;</w:t>
      </w:r>
    </w:p>
    <w:p w:rsidR="00313FFC" w:rsidRPr="00313FFC" w:rsidRDefault="0030507E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  <w:t xml:space="preserve">- </w:t>
      </w:r>
      <w:r w:rsidR="00313FFC" w:rsidRPr="00313FFC"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  <w:t>отремонтирован 231 водопроводный колодец (в 2014 году - 54);</w:t>
      </w:r>
    </w:p>
    <w:p w:rsidR="00313FFC" w:rsidRPr="00313FFC" w:rsidRDefault="0030507E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  <w:t xml:space="preserve">- </w:t>
      </w:r>
      <w:r w:rsidR="00313FFC" w:rsidRPr="00313FFC"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  <w:t>выполнена замена 46 пожарных гидрантов (в 2014 году - 12). Были установлены гидранты нового образца со сроком эксплуатации до 30 лет;</w:t>
      </w:r>
    </w:p>
    <w:p w:rsidR="00313FFC" w:rsidRPr="00313FFC" w:rsidRDefault="0030507E" w:rsidP="001B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  <w:t xml:space="preserve">- </w:t>
      </w:r>
      <w:r w:rsidR="00313FFC" w:rsidRPr="00313FFC"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  <w:t>отремонтировано 107 пожарных гидрантов (в 2014 году - 73), что составляет 18% от общего количества.</w:t>
      </w:r>
    </w:p>
    <w:p w:rsidR="00313FFC" w:rsidRPr="00313FFC" w:rsidRDefault="00313FFC" w:rsidP="001B4CD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2015 году фактический объем принятых, очищенных и сброшенных сточных вод составил 5400,12 тыс. </w:t>
      </w:r>
      <w:proofErr w:type="spellStart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куб</w:t>
      </w:r>
      <w:proofErr w:type="gramStart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.м</w:t>
      </w:r>
      <w:proofErr w:type="spellEnd"/>
      <w:proofErr w:type="gramEnd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/год (в 2014 году - 5425 тыс. </w:t>
      </w:r>
      <w:proofErr w:type="spellStart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куб.м</w:t>
      </w:r>
      <w:proofErr w:type="spellEnd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/год), среднесуточный приток равен 14,75 тыс. </w:t>
      </w:r>
      <w:proofErr w:type="spellStart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куб.м</w:t>
      </w:r>
      <w:proofErr w:type="spellEnd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/сутки (в 2014 году - </w:t>
      </w:r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  <w:t xml:space="preserve">14,8 тыс. </w:t>
      </w:r>
      <w:proofErr w:type="spellStart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куб.м</w:t>
      </w:r>
      <w:proofErr w:type="spellEnd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/сутки), среднечасовой - 614,6 </w:t>
      </w:r>
      <w:proofErr w:type="spellStart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куб.м</w:t>
      </w:r>
      <w:proofErr w:type="spellEnd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/час (в 2014 году - </w:t>
      </w:r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  <w:t xml:space="preserve">616 </w:t>
      </w:r>
      <w:proofErr w:type="spellStart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куб.м</w:t>
      </w:r>
      <w:proofErr w:type="spellEnd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/час), что не превышает проектную производительность канализационных очистных сооружений. </w:t>
      </w:r>
    </w:p>
    <w:p w:rsidR="00313FFC" w:rsidRPr="00313FFC" w:rsidRDefault="00313FFC" w:rsidP="001B4CD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По сравнению с 2014 годом в 2015 году сточных вод принято на 0,5% меньше, что обусловлено общим снижением объема водопотребления населением. </w:t>
      </w:r>
    </w:p>
    <w:p w:rsidR="00313FFC" w:rsidRPr="00313FFC" w:rsidRDefault="00313FFC" w:rsidP="001B4CD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Принцип работы очистных сооружений города Ханты-Мансийска основан </w:t>
      </w:r>
      <w:r w:rsidR="0087375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</w:r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 многоступенчатой технологии, включающей несколько стадий очистки. Сооружения очистки сточных вод включают четыре линии биологической очистки, сооружения доочистки фильтров глубокой очистки (6 фильтров), </w:t>
      </w:r>
      <w:proofErr w:type="spellStart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реагентное</w:t>
      </w:r>
      <w:proofErr w:type="spellEnd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хозяйство (2 установки), станцию ультрафиолетового обеззараживания </w:t>
      </w:r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сточных вод (2 установки), цех механического обезвоживания осадка (2 установки), </w:t>
      </w:r>
      <w:proofErr w:type="spellStart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песковые</w:t>
      </w:r>
      <w:proofErr w:type="spellEnd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поля (2 шт.), поля компостирования (4 шт.), воздуходувную станцию </w:t>
      </w:r>
      <w:r w:rsidR="0087375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</w:r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(3 установки), канализационную насосную станцию.</w:t>
      </w:r>
    </w:p>
    <w:p w:rsidR="00313FFC" w:rsidRPr="00313FFC" w:rsidRDefault="00313FFC" w:rsidP="001B4CD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Протяженность канализационных сетей по городу составляет 186 км, </w:t>
      </w:r>
      <w:r w:rsidR="0087375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</w:r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 балансе МП «Водоканал» находится 110,12 км (самотечных - 69,13 км; напорных - 41,121 км).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2015 году на канализационных очистных сооружениях введен </w:t>
      </w:r>
      <w:r w:rsidR="0087375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</w:r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эксплуатацию четвертый резервуар биологической очистки, что позволило увеличить их производительность до 18,0 тыс. </w:t>
      </w:r>
      <w:proofErr w:type="spellStart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куб</w:t>
      </w:r>
      <w:proofErr w:type="gramStart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.м</w:t>
      </w:r>
      <w:proofErr w:type="spellEnd"/>
      <w:proofErr w:type="gramEnd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/</w:t>
      </w:r>
      <w:proofErr w:type="spellStart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сут</w:t>
      </w:r>
      <w:proofErr w:type="spellEnd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313FFC" w:rsidRPr="00313FFC" w:rsidRDefault="00313FFC" w:rsidP="001B4CD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 головной канализационной насосной станции (далее - КНС) была установлена ступенчатая решетка тонкой очистки </w:t>
      </w:r>
      <w:proofErr w:type="spellStart"/>
      <w:r w:rsidRPr="00313FF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Rotoscreen</w:t>
      </w:r>
      <w:proofErr w:type="spellEnd"/>
      <w:r w:rsidRPr="00313FF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(</w:t>
      </w:r>
      <w:proofErr w:type="spellStart"/>
      <w:r w:rsidRPr="00313FF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Ротоскрин</w:t>
      </w:r>
      <w:proofErr w:type="spellEnd"/>
      <w:r w:rsidRPr="00313FF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). Оборудование работает в полном автоматическом режиме в зависимости </w:t>
      </w:r>
      <w:r w:rsidR="0087375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br/>
      </w:r>
      <w:r w:rsidRPr="00313FF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от установленного времени срабатывания решетки и уровня сточных вод</w:t>
      </w:r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В </w:t>
      </w:r>
      <w:proofErr w:type="gramStart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рамках</w:t>
      </w:r>
      <w:proofErr w:type="gramEnd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реализации программы энергосберегающих мероприятий на данной КНС установлен тепловой насос, использующий тепловую энергию сточных вод города для обогрева производственных помещений.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целях</w:t>
      </w:r>
      <w:proofErr w:type="gramEnd"/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обеспечения защиты насосов от засорения на КНС-4 установлена дробильная машина для задержания и измельчения в потоке сточных вод бытового мусора.</w:t>
      </w:r>
    </w:p>
    <w:p w:rsidR="00313FFC" w:rsidRPr="00313FFC" w:rsidRDefault="00313FFC" w:rsidP="001B4C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FFC">
        <w:rPr>
          <w:rFonts w:ascii="Times New Roman" w:eastAsia="Calibri" w:hAnsi="Times New Roman" w:cs="Times New Roman"/>
          <w:b/>
          <w:sz w:val="28"/>
          <w:szCs w:val="28"/>
        </w:rPr>
        <w:t>Теплоснабжение</w:t>
      </w:r>
    </w:p>
    <w:p w:rsidR="00313FFC" w:rsidRPr="00313FFC" w:rsidRDefault="00313FFC" w:rsidP="001B4CDD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Обеспечение отоплением и горячим водоснабжением более 90% потребителей города осуществляется открытым акционерным обществом «Управление теплоснабжения и инженерных сетей» (ОАО «УТС»).</w:t>
      </w:r>
    </w:p>
    <w:p w:rsidR="00313FFC" w:rsidRPr="00313FFC" w:rsidRDefault="00313FFC" w:rsidP="001B4CDD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Протяженность действующих сетей теплоснабжения города составляет </w:t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138,3 км (2014 год - 137,4 км), сетей горячего водоснабжения 21,3 км (2014 год - 21,5 км).</w:t>
      </w:r>
    </w:p>
    <w:p w:rsidR="00313FFC" w:rsidRPr="00313FFC" w:rsidRDefault="00313FFC" w:rsidP="001B4CDD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Объем подачи тепловой энергии в 2015 году составил 482257,3 Гкал </w:t>
      </w:r>
      <w:r w:rsidR="00B24B04">
        <w:rPr>
          <w:rFonts w:ascii="Times New Roman" w:eastAsia="Times New Roman" w:hAnsi="Times New Roman" w:cs="Times New Roman"/>
          <w:sz w:val="28"/>
          <w:szCs w:val="28"/>
          <w:lang w:eastAsia="zh-CN"/>
        </w:rPr>
        <w:t>(2014 год - 435</w:t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300,0 Гкал), что на 10,8% больше периода отопительного сезона 2013-2014 годов. Основной причиной является увеличением объектов капитального строительства, подключенных к централизованному теплоснабжению.</w:t>
      </w:r>
    </w:p>
    <w:p w:rsidR="00313FFC" w:rsidRPr="00313FFC" w:rsidRDefault="00313FFC" w:rsidP="001B4CDD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2015 году тепловая энергия производится на 55 котельных (2014 год - </w:t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52 котельные), из них 47 котельных оснащены системой диспетчерского контроля (2014 год - 42 котельные). Автоматизированная система диспетчерского контроля обеспечивает бесперебойную работу котельных установок без постоянного присутствия персонала на них. Указанная система значительно снижает затраты на содержание персонала, а также приводит к экономии топлива и подаче более качественной тепловой энергии потребителям.</w:t>
      </w:r>
    </w:p>
    <w:p w:rsidR="00313FFC" w:rsidRPr="00313FFC" w:rsidRDefault="00313FFC" w:rsidP="001B4CDD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рамках государственной программы Ханты-Мансийского автономного округа - Югры «Развитие жилищно-коммунального комплекса и повышение энергетической эффективности в Ханты-Мансийском автономном округе - Югре на 2014-2020 годы» в целях модернизации сетей теплоснабжения в 2015 году привлечено средств бюджета Ханты-Мансийского автономного округа – Югры </w:t>
      </w:r>
      <w:r w:rsidR="0087375B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размере 43,5 млн</w:t>
      </w:r>
      <w:r w:rsidR="00B24B0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рублей, что позволило выполнить ремонт сетей теплоснабжения и водоснабжения в рамках установленного норматива </w:t>
      </w:r>
      <w:r w:rsidR="00B24B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(не менее </w:t>
      </w:r>
      <w:r w:rsidR="00B24B0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5%) на общую</w:t>
      </w:r>
      <w:proofErr w:type="gramEnd"/>
      <w:r w:rsidR="00B24B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сумму 70</w:t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579,6 тыс. рублей по 45 адресам (2014 год - 17 адресов) </w:t>
      </w:r>
      <w:r w:rsidR="0087375B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и в следующих объемах:</w:t>
      </w:r>
    </w:p>
    <w:p w:rsidR="00313FFC" w:rsidRPr="00313FFC" w:rsidRDefault="00B24B04" w:rsidP="001B4CDD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замена ветхих сетей теплоснабжения 3,55 км (2014 год - 3,04 км);</w:t>
      </w:r>
    </w:p>
    <w:p w:rsidR="00313FFC" w:rsidRPr="00313FFC" w:rsidRDefault="00B24B04" w:rsidP="001B4CDD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замена сетей водоснабжения 1,5 км (2014 год - 2,0 км);</w:t>
      </w:r>
    </w:p>
    <w:p w:rsidR="00313FFC" w:rsidRPr="00313FFC" w:rsidRDefault="00B24B04" w:rsidP="001B4CDD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замена сетей горячего водоснабжения 0,62 км (в 2014 году - 0,34 км).</w:t>
      </w:r>
    </w:p>
    <w:p w:rsidR="00313FFC" w:rsidRPr="00313FFC" w:rsidRDefault="00313FFC" w:rsidP="001B4CDD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Отопительный период 2014-2015 годов прошел стабильно, без аварий </w:t>
      </w:r>
      <w:r w:rsidR="0087375B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инцидентов.</w:t>
      </w:r>
    </w:p>
    <w:p w:rsidR="00313FFC" w:rsidRPr="00313FFC" w:rsidRDefault="00313FFC" w:rsidP="001B4CDD">
      <w:pPr>
        <w:suppressAutoHyphens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Рис. </w:t>
      </w:r>
      <w:r w:rsidR="000722F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12</w:t>
      </w:r>
    </w:p>
    <w:p w:rsidR="00313FFC" w:rsidRPr="00313FFC" w:rsidRDefault="00313FFC" w:rsidP="001B4CDD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Обеспеченность жилищного фонда отоплением, %</w:t>
      </w:r>
    </w:p>
    <w:p w:rsidR="00313FFC" w:rsidRPr="00313FFC" w:rsidRDefault="00313FFC" w:rsidP="001B4CDD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noProof/>
          <w:kern w:val="1"/>
          <w:sz w:val="28"/>
          <w:szCs w:val="28"/>
          <w:lang w:eastAsia="ru-RU"/>
        </w:rPr>
        <w:drawing>
          <wp:inline distT="0" distB="0" distL="0" distR="0" wp14:anchorId="13CE2E77" wp14:editId="67D93783">
            <wp:extent cx="5486400" cy="3200400"/>
            <wp:effectExtent l="0" t="0" r="0" b="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13FFC" w:rsidRPr="00313FFC" w:rsidRDefault="00313FFC" w:rsidP="001B4CDD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313FFC" w:rsidRPr="00313FFC" w:rsidRDefault="00313FFC" w:rsidP="001B4CDD">
      <w:pPr>
        <w:tabs>
          <w:tab w:val="left" w:pos="18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FFC">
        <w:rPr>
          <w:rFonts w:ascii="Times New Roman" w:eastAsia="Calibri" w:hAnsi="Times New Roman" w:cs="Times New Roman"/>
          <w:b/>
          <w:sz w:val="28"/>
          <w:szCs w:val="28"/>
        </w:rPr>
        <w:t>Электроснабжение</w:t>
      </w:r>
    </w:p>
    <w:p w:rsidR="00313FFC" w:rsidRDefault="00313FFC" w:rsidP="001B4CDD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2015 году электроснабжение города Ханты-Мансийска осуществлялось </w:t>
      </w:r>
      <w:r w:rsidR="0087375B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5 подстанций (далее - ПС) (ПС «Ханты-Мансийская», ПС «Авангард», </w:t>
      </w:r>
      <w:r w:rsidR="0087375B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ПС «</w:t>
      </w:r>
      <w:proofErr w:type="spellStart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Самарово</w:t>
      </w:r>
      <w:proofErr w:type="spellEnd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ПС «Западная», ПС «ГИБДД»). </w:t>
      </w:r>
    </w:p>
    <w:p w:rsidR="000722F0" w:rsidRPr="000722F0" w:rsidRDefault="000722F0" w:rsidP="000722F0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22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2015 году аварийных технологических нарушений в системе электроснабжения города не возникало. </w:t>
      </w:r>
    </w:p>
    <w:p w:rsidR="000722F0" w:rsidRPr="000722F0" w:rsidRDefault="000722F0" w:rsidP="000722F0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22F0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Всего по городу распределительных пунктов (далее - РП), трансформаторных подстанций (далее - ТП) - 410 шт.</w:t>
      </w:r>
    </w:p>
    <w:p w:rsidR="000722F0" w:rsidRPr="000722F0" w:rsidRDefault="000722F0" w:rsidP="000722F0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22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Общее количество отключений в сетях 10 </w:t>
      </w:r>
      <w:proofErr w:type="spellStart"/>
      <w:r w:rsidRPr="000722F0">
        <w:rPr>
          <w:rFonts w:ascii="Times New Roman" w:eastAsia="Times New Roman" w:hAnsi="Times New Roman" w:cs="Times New Roman"/>
          <w:sz w:val="28"/>
          <w:szCs w:val="28"/>
          <w:lang w:eastAsia="zh-CN"/>
        </w:rPr>
        <w:t>кВ</w:t>
      </w:r>
      <w:proofErr w:type="spellEnd"/>
      <w:r w:rsidRPr="000722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2015 году сократилось на 9% и составило 42 отключения (2014 год - 46 отключений). </w:t>
      </w:r>
      <w:proofErr w:type="spellStart"/>
      <w:r w:rsidRPr="000722F0"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Недоотпуск</w:t>
      </w:r>
      <w:proofErr w:type="spellEnd"/>
      <w:r w:rsidRPr="000722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электроэнергии из-за аварийных отключений уменьшился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0722F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468 тыс. кВт/час.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722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Надежность городских электрических сетей обеспечивает отсутствие проблемы дефицита мощностей в распределительных сетях. </w:t>
      </w:r>
    </w:p>
    <w:p w:rsidR="000722F0" w:rsidRDefault="000722F0" w:rsidP="000722F0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22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Наблюдается непрерывный рост нагрузок в системе электроснабжения города Ханты-Мансийска. Максимальная нагрузка в осенне-зимний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0722F0">
        <w:rPr>
          <w:rFonts w:ascii="Times New Roman" w:eastAsia="Times New Roman" w:hAnsi="Times New Roman" w:cs="Times New Roman"/>
          <w:sz w:val="28"/>
          <w:szCs w:val="28"/>
          <w:lang w:eastAsia="zh-CN"/>
        </w:rPr>
        <w:t>2014-2015 годов по отношению к осенне-зимнему периоду 2013-2014 годов увеличилась на 7,3 МВт (+8,4%) и составила 94,4 МВт (93,3% разрешенной мощности). Максимум осенне-зимнего периода 2015-2016 годов до настоящего времени не зафиксирован.</w:t>
      </w:r>
    </w:p>
    <w:p w:rsidR="000722F0" w:rsidRPr="00313FFC" w:rsidRDefault="000722F0" w:rsidP="000722F0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 2015 году построены и введены в работу системы электроснабжения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7375B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14 объектов с общим отбором мощности около 5,5 МВт, в том числе: </w:t>
      </w:r>
    </w:p>
    <w:p w:rsidR="000722F0" w:rsidRPr="00313FFC" w:rsidRDefault="000722F0" w:rsidP="000722F0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детский сад на 300 мест в микрорайоне Иртыш (0,28 МВт);</w:t>
      </w:r>
    </w:p>
    <w:p w:rsidR="000722F0" w:rsidRPr="00313FFC" w:rsidRDefault="000722F0" w:rsidP="000722F0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жилые дома по </w:t>
      </w:r>
      <w:proofErr w:type="spellStart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ул</w:t>
      </w:r>
      <w:proofErr w:type="gramStart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.Г</w:t>
      </w:r>
      <w:proofErr w:type="gramEnd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агарина</w:t>
      </w:r>
      <w:proofErr w:type="spellEnd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141, 149 (0,6 МВт); «Жилые дома </w:t>
      </w:r>
      <w:r w:rsidR="0087375B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proofErr w:type="spellStart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ул.Югорская</w:t>
      </w:r>
      <w:proofErr w:type="spellEnd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1,3,5» (1 МВт); жилой дом по </w:t>
      </w:r>
      <w:proofErr w:type="spellStart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ул.Дзержинского</w:t>
      </w:r>
      <w:proofErr w:type="spellEnd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Лесная (0,3 МВт); жилые дома по </w:t>
      </w:r>
      <w:proofErr w:type="spellStart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ул.Комсомольская</w:t>
      </w:r>
      <w:proofErr w:type="spellEnd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Энгельса (0,5 МВт); 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proofErr w:type="spellStart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ул.Объездная</w:t>
      </w:r>
      <w:proofErr w:type="spellEnd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(0,3 МВт); «Жилой дом по </w:t>
      </w:r>
      <w:proofErr w:type="spellStart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ул.А.Коньковой</w:t>
      </w:r>
      <w:proofErr w:type="spellEnd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2» (0,3 МВт); «Жилой дом по </w:t>
      </w:r>
      <w:proofErr w:type="spellStart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ул.Б.Лосева</w:t>
      </w:r>
      <w:proofErr w:type="spellEnd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(0,3 МВт); жилой дом по </w:t>
      </w:r>
      <w:proofErr w:type="spellStart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ул.А.Коньковой</w:t>
      </w:r>
      <w:proofErr w:type="spellEnd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8 </w:t>
      </w:r>
      <w:r w:rsidR="0087375B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(0,45 МВт); «Жилой дом по </w:t>
      </w:r>
      <w:proofErr w:type="spellStart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ул.А.Коньковой</w:t>
      </w:r>
      <w:proofErr w:type="spellEnd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10» (0,7 МВт); «Жилой дом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proofErr w:type="spellStart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ул</w:t>
      </w:r>
      <w:proofErr w:type="gramStart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.Ш</w:t>
      </w:r>
      <w:proofErr w:type="gramEnd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евченко</w:t>
      </w:r>
      <w:proofErr w:type="spellEnd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51» (0,3 МВт). </w:t>
      </w:r>
    </w:p>
    <w:p w:rsidR="000722F0" w:rsidRPr="00313FFC" w:rsidRDefault="000722F0" w:rsidP="000722F0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3FFC" w:rsidRPr="00313FFC" w:rsidRDefault="00313FFC" w:rsidP="001B4CDD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3FFC">
        <w:rPr>
          <w:rFonts w:ascii="Times New Roman" w:eastAsia="Calibri" w:hAnsi="Times New Roman" w:cs="Times New Roman"/>
          <w:sz w:val="28"/>
          <w:szCs w:val="28"/>
        </w:rPr>
        <w:t>Рис. 1</w:t>
      </w:r>
      <w:r w:rsidR="000722F0">
        <w:rPr>
          <w:rFonts w:ascii="Times New Roman" w:eastAsia="Calibri" w:hAnsi="Times New Roman" w:cs="Times New Roman"/>
          <w:sz w:val="28"/>
          <w:szCs w:val="28"/>
        </w:rPr>
        <w:t>3</w:t>
      </w:r>
    </w:p>
    <w:p w:rsidR="00313FFC" w:rsidRPr="00313FFC" w:rsidRDefault="00313FFC" w:rsidP="001B4CDD">
      <w:pPr>
        <w:spacing w:after="0" w:line="240" w:lineRule="auto"/>
        <w:ind w:firstLine="709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33383D8" wp14:editId="3A55B47C">
            <wp:extent cx="5905500" cy="4000500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13FFC" w:rsidRPr="00313FFC" w:rsidRDefault="00313FFC" w:rsidP="001B4CDD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В 2015 году МП «ГЭС» выполнило следующие работы:</w:t>
      </w:r>
    </w:p>
    <w:p w:rsidR="00313FFC" w:rsidRPr="00313FFC" w:rsidRDefault="00B24B04" w:rsidP="001B4CDD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реконструкция оборудования трансформаторных подстанций - 12 шт. (2014 год - 5 шт.);</w:t>
      </w:r>
    </w:p>
    <w:p w:rsidR="00313FFC" w:rsidRPr="00313FFC" w:rsidRDefault="00B24B04" w:rsidP="001B4CDD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построены новые электроустановки:</w:t>
      </w:r>
    </w:p>
    <w:p w:rsidR="00313FFC" w:rsidRPr="00313FFC" w:rsidRDefault="00B24B04" w:rsidP="000563C8">
      <w:pPr>
        <w:tabs>
          <w:tab w:val="left" w:pos="180"/>
        </w:tabs>
        <w:suppressAutoHyphens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ТП-10/0,4кВ - 4 шт.; </w:t>
      </w:r>
    </w:p>
    <w:p w:rsidR="00313FFC" w:rsidRPr="00313FFC" w:rsidRDefault="00B24B04" w:rsidP="000563C8">
      <w:pPr>
        <w:tabs>
          <w:tab w:val="left" w:pos="180"/>
        </w:tabs>
        <w:suppressAutoHyphens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воздушных линий 10 </w:t>
      </w:r>
      <w:proofErr w:type="spellStart"/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кВ</w:t>
      </w:r>
      <w:proofErr w:type="spellEnd"/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- 0,5 км;</w:t>
      </w:r>
    </w:p>
    <w:p w:rsidR="00313FFC" w:rsidRPr="00313FFC" w:rsidRDefault="00B24B04" w:rsidP="000563C8">
      <w:pPr>
        <w:tabs>
          <w:tab w:val="left" w:pos="180"/>
        </w:tabs>
        <w:suppressAutoHyphens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воздушных линий 0,4 </w:t>
      </w:r>
      <w:proofErr w:type="spellStart"/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кВ</w:t>
      </w:r>
      <w:proofErr w:type="spellEnd"/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- 8 км;</w:t>
      </w:r>
    </w:p>
    <w:p w:rsidR="00313FFC" w:rsidRPr="00313FFC" w:rsidRDefault="00B24B04" w:rsidP="000563C8">
      <w:pPr>
        <w:tabs>
          <w:tab w:val="left" w:pos="180"/>
        </w:tabs>
        <w:suppressAutoHyphens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кабельных линий 10 </w:t>
      </w:r>
      <w:proofErr w:type="spellStart"/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кВ</w:t>
      </w:r>
      <w:proofErr w:type="spellEnd"/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- 10,8 км;</w:t>
      </w:r>
    </w:p>
    <w:p w:rsidR="00313FFC" w:rsidRPr="00313FFC" w:rsidRDefault="00B24B04" w:rsidP="000563C8">
      <w:pPr>
        <w:tabs>
          <w:tab w:val="left" w:pos="180"/>
        </w:tabs>
        <w:suppressAutoHyphens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кабельных линий 0,4 </w:t>
      </w:r>
      <w:proofErr w:type="spellStart"/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кВ</w:t>
      </w:r>
      <w:proofErr w:type="spellEnd"/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- 2 км;</w:t>
      </w:r>
    </w:p>
    <w:p w:rsidR="00313FFC" w:rsidRPr="00313FFC" w:rsidRDefault="00B24B04" w:rsidP="001B4CDD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демонтированы электроустановки: </w:t>
      </w:r>
    </w:p>
    <w:p w:rsidR="00313FFC" w:rsidRPr="00313FFC" w:rsidRDefault="000563C8" w:rsidP="000563C8">
      <w:pPr>
        <w:tabs>
          <w:tab w:val="left" w:pos="180"/>
        </w:tabs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ТП-10/0,4 </w:t>
      </w:r>
      <w:proofErr w:type="spellStart"/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кВ</w:t>
      </w:r>
      <w:proofErr w:type="spellEnd"/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- 2 шт.;</w:t>
      </w:r>
    </w:p>
    <w:p w:rsidR="00313FFC" w:rsidRPr="00313FFC" w:rsidRDefault="000563C8" w:rsidP="000563C8">
      <w:pPr>
        <w:tabs>
          <w:tab w:val="left" w:pos="180"/>
        </w:tabs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воздушных линий - 1,67 км;</w:t>
      </w:r>
    </w:p>
    <w:p w:rsidR="00313FFC" w:rsidRPr="00313FFC" w:rsidRDefault="000563C8" w:rsidP="001B4CDD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выполнен капитальный ремонт строительной части и кровли </w:t>
      </w:r>
      <w:r w:rsidR="0087375B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на 9 распределительных пунктах и трансформаторных подстанциях;</w:t>
      </w:r>
    </w:p>
    <w:p w:rsidR="00313FFC" w:rsidRPr="00313FFC" w:rsidRDefault="000563C8" w:rsidP="001B4CDD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установлена система телемеханики на ТП/РП - 10/0,4 </w:t>
      </w:r>
      <w:proofErr w:type="spellStart"/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кВ</w:t>
      </w:r>
      <w:proofErr w:type="spellEnd"/>
      <w:r w:rsidR="00313FFC"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- 19 шт.</w:t>
      </w:r>
    </w:p>
    <w:p w:rsidR="00313FFC" w:rsidRPr="00313FFC" w:rsidRDefault="00313FFC" w:rsidP="001B4CDD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В 2015 году от подстанции «ГИБДД» присоединен объект «ТБО» мощностью 130 кВт.</w:t>
      </w:r>
    </w:p>
    <w:p w:rsidR="00313FFC" w:rsidRPr="00313FFC" w:rsidRDefault="00313FFC" w:rsidP="001B4CDD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Общий объем электроэнергии в 2015 году составил 451,610 млн</w:t>
      </w:r>
      <w:r w:rsidR="000563C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кВт, реализовано электроэнергии 414,711 млн</w:t>
      </w:r>
      <w:r w:rsidR="000563C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кВт на сумму 1139,7 млн</w:t>
      </w:r>
      <w:r w:rsidR="000563C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рублей. Потери составили 36,9 млн</w:t>
      </w:r>
      <w:r w:rsidR="000563C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кВт или 8,2%. За 2015 год предприятия и организации города потребили электрическую энергию в объеме 283219 тыс. кВт, население - </w:t>
      </w:r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168391 тыс. кВт. </w:t>
      </w:r>
      <w:proofErr w:type="gramStart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конец</w:t>
      </w:r>
      <w:proofErr w:type="gramEnd"/>
      <w:r w:rsidRPr="0031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2015 года количество потребителей - юридических лиц составило 910 абонентов, физических лиц - 31046 абонентов.</w:t>
      </w:r>
    </w:p>
    <w:p w:rsidR="00313FFC" w:rsidRPr="00313FFC" w:rsidRDefault="00313FFC" w:rsidP="001B4CD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FC">
        <w:rPr>
          <w:rFonts w:ascii="Times New Roman" w:eastAsia="Calibri" w:hAnsi="Times New Roman" w:cs="Times New Roman"/>
          <w:sz w:val="28"/>
          <w:szCs w:val="28"/>
        </w:rPr>
        <w:t>Обеспеченность потребителей электрической энергии приборами учета составляет 99%.</w:t>
      </w:r>
    </w:p>
    <w:p w:rsidR="001B4CDD" w:rsidRDefault="001B4CDD" w:rsidP="001B4C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FFC" w:rsidRPr="00313FFC" w:rsidRDefault="00313FFC" w:rsidP="001B4C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FFC">
        <w:rPr>
          <w:rFonts w:ascii="Times New Roman" w:eastAsia="Calibri" w:hAnsi="Times New Roman" w:cs="Times New Roman"/>
          <w:b/>
          <w:sz w:val="28"/>
          <w:szCs w:val="28"/>
        </w:rPr>
        <w:t>Газоснабжение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Деятельность в сфере услуг по транспортировке природного газа </w:t>
      </w:r>
      <w:r w:rsidR="0087375B">
        <w:rPr>
          <w:rFonts w:ascii="Times New Roman" w:eastAsia="Calibri" w:hAnsi="Times New Roman" w:cs="Times New Roman"/>
          <w:sz w:val="28"/>
          <w:szCs w:val="28"/>
        </w:rPr>
        <w:br/>
      </w:r>
      <w:r w:rsidRPr="00313FFC">
        <w:rPr>
          <w:rFonts w:ascii="Times New Roman" w:eastAsia="Calibri" w:hAnsi="Times New Roman" w:cs="Times New Roman"/>
          <w:sz w:val="28"/>
          <w:szCs w:val="28"/>
        </w:rPr>
        <w:t>по газораспределительным сетям на территории города осуществляет муниципальное предприятие «Ханты-</w:t>
      </w:r>
      <w:proofErr w:type="spellStart"/>
      <w:r w:rsidRPr="00313FFC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Pr="00313FFC">
        <w:rPr>
          <w:rFonts w:ascii="Times New Roman" w:eastAsia="Calibri" w:hAnsi="Times New Roman" w:cs="Times New Roman"/>
          <w:sz w:val="28"/>
          <w:szCs w:val="28"/>
        </w:rPr>
        <w:t>» (далее - МП «Ханты-</w:t>
      </w:r>
      <w:proofErr w:type="spellStart"/>
      <w:r w:rsidRPr="00313FFC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Pr="00313FFC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FC">
        <w:rPr>
          <w:rFonts w:ascii="Times New Roman" w:eastAsia="Calibri" w:hAnsi="Times New Roman" w:cs="Times New Roman"/>
          <w:sz w:val="28"/>
          <w:szCs w:val="28"/>
        </w:rPr>
        <w:t>В 2015 году МП «Ханты-</w:t>
      </w:r>
      <w:proofErr w:type="spellStart"/>
      <w:r w:rsidRPr="00313FFC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Pr="00313FFC">
        <w:rPr>
          <w:rFonts w:ascii="Times New Roman" w:eastAsia="Calibri" w:hAnsi="Times New Roman" w:cs="Times New Roman"/>
          <w:sz w:val="28"/>
          <w:szCs w:val="28"/>
        </w:rPr>
        <w:t>» обеспечена транспортировка природного газа в объеме 119,6 млн</w:t>
      </w:r>
      <w:r w:rsidR="000563C8">
        <w:rPr>
          <w:rFonts w:ascii="Times New Roman" w:eastAsia="Calibri" w:hAnsi="Times New Roman" w:cs="Times New Roman"/>
          <w:sz w:val="28"/>
          <w:szCs w:val="28"/>
        </w:rPr>
        <w:t>.</w:t>
      </w: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FFC">
        <w:rPr>
          <w:rFonts w:ascii="Times New Roman" w:eastAsia="Calibri" w:hAnsi="Times New Roman" w:cs="Times New Roman"/>
          <w:sz w:val="28"/>
          <w:szCs w:val="28"/>
        </w:rPr>
        <w:t>куб</w:t>
      </w:r>
      <w:proofErr w:type="gramStart"/>
      <w:r w:rsidRPr="00313FFC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 (2014 год - 119,4 млн</w:t>
      </w:r>
      <w:r w:rsidR="000563C8">
        <w:rPr>
          <w:rFonts w:ascii="Times New Roman" w:eastAsia="Calibri" w:hAnsi="Times New Roman" w:cs="Times New Roman"/>
          <w:sz w:val="28"/>
          <w:szCs w:val="28"/>
        </w:rPr>
        <w:t>.</w:t>
      </w: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FFC">
        <w:rPr>
          <w:rFonts w:ascii="Times New Roman" w:eastAsia="Calibri" w:hAnsi="Times New Roman" w:cs="Times New Roman"/>
          <w:sz w:val="28"/>
          <w:szCs w:val="28"/>
        </w:rPr>
        <w:t>куб.м</w:t>
      </w:r>
      <w:proofErr w:type="spellEnd"/>
      <w:r w:rsidRPr="00313FFC">
        <w:rPr>
          <w:rFonts w:ascii="Times New Roman" w:eastAsia="Calibri" w:hAnsi="Times New Roman" w:cs="Times New Roman"/>
          <w:sz w:val="28"/>
          <w:szCs w:val="28"/>
        </w:rPr>
        <w:t>). Общая протяженность сетей газоснабжения, находящихся на обслуживании, составляет 267,91 км (2014 год - 264 км)</w:t>
      </w:r>
      <w:r w:rsidR="00E40D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FC">
        <w:rPr>
          <w:rFonts w:ascii="Times New Roman" w:eastAsia="Calibri" w:hAnsi="Times New Roman" w:cs="Times New Roman"/>
          <w:sz w:val="28"/>
          <w:szCs w:val="28"/>
        </w:rPr>
        <w:t>Также основной деятельностью предприятия является обеспечение теплоснабжением и горячим водоснабжением потребителей города. За отчетный период предприятием отпущено т</w:t>
      </w:r>
      <w:r w:rsidR="000563C8">
        <w:rPr>
          <w:rFonts w:ascii="Times New Roman" w:eastAsia="Calibri" w:hAnsi="Times New Roman" w:cs="Times New Roman"/>
          <w:sz w:val="28"/>
          <w:szCs w:val="28"/>
        </w:rPr>
        <w:t>епловой энергии в количестве 30</w:t>
      </w:r>
      <w:r w:rsidRPr="00313FFC">
        <w:rPr>
          <w:rFonts w:ascii="Times New Roman" w:eastAsia="Calibri" w:hAnsi="Times New Roman" w:cs="Times New Roman"/>
          <w:sz w:val="28"/>
          <w:szCs w:val="28"/>
        </w:rPr>
        <w:t>335,72</w:t>
      </w:r>
      <w:r w:rsidR="000563C8">
        <w:rPr>
          <w:rFonts w:ascii="Times New Roman" w:eastAsia="Calibri" w:hAnsi="Times New Roman" w:cs="Times New Roman"/>
          <w:sz w:val="28"/>
          <w:szCs w:val="28"/>
        </w:rPr>
        <w:t xml:space="preserve"> Гкал, горячей воды в объеме 37</w:t>
      </w: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753,0 </w:t>
      </w:r>
      <w:proofErr w:type="spellStart"/>
      <w:r w:rsidRPr="00313FFC">
        <w:rPr>
          <w:rFonts w:ascii="Times New Roman" w:eastAsia="Calibri" w:hAnsi="Times New Roman" w:cs="Times New Roman"/>
          <w:sz w:val="28"/>
          <w:szCs w:val="28"/>
        </w:rPr>
        <w:t>куб.м</w:t>
      </w:r>
      <w:proofErr w:type="spellEnd"/>
      <w:r w:rsidRPr="00313FFC">
        <w:rPr>
          <w:rFonts w:ascii="Times New Roman" w:eastAsia="Calibri" w:hAnsi="Times New Roman" w:cs="Times New Roman"/>
          <w:sz w:val="28"/>
          <w:szCs w:val="28"/>
        </w:rPr>
        <w:t>. На балансе предприятия находится 2,4 км сетей теплоснабжения и 1 км горячего водоснабжения.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В связи с повышением качества содержания сетей газоснабжения </w:t>
      </w:r>
      <w:r w:rsidR="003D2F8B">
        <w:rPr>
          <w:rFonts w:ascii="Times New Roman" w:eastAsia="Calibri" w:hAnsi="Times New Roman" w:cs="Times New Roman"/>
          <w:sz w:val="28"/>
          <w:szCs w:val="28"/>
        </w:rPr>
        <w:br/>
      </w: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в 2015 году единой аварийно-диспетчерской газовой службой локализовано </w:t>
      </w:r>
      <w:r w:rsidR="003D2F8B">
        <w:rPr>
          <w:rFonts w:ascii="Times New Roman" w:eastAsia="Calibri" w:hAnsi="Times New Roman" w:cs="Times New Roman"/>
          <w:sz w:val="28"/>
          <w:szCs w:val="28"/>
        </w:rPr>
        <w:br/>
      </w:r>
      <w:r w:rsidRPr="00313FFC">
        <w:rPr>
          <w:rFonts w:ascii="Times New Roman" w:eastAsia="Calibri" w:hAnsi="Times New Roman" w:cs="Times New Roman"/>
          <w:sz w:val="28"/>
          <w:szCs w:val="28"/>
        </w:rPr>
        <w:t>5 аварий (инциденто</w:t>
      </w:r>
      <w:r w:rsidR="000563C8">
        <w:rPr>
          <w:rFonts w:ascii="Times New Roman" w:eastAsia="Calibri" w:hAnsi="Times New Roman" w:cs="Times New Roman"/>
          <w:sz w:val="28"/>
          <w:szCs w:val="28"/>
        </w:rPr>
        <w:t>в) (2014 год - 26), выполнено 1660 аварийных заявок и 2</w:t>
      </w:r>
      <w:r w:rsidRPr="00313FFC">
        <w:rPr>
          <w:rFonts w:ascii="Times New Roman" w:eastAsia="Calibri" w:hAnsi="Times New Roman" w:cs="Times New Roman"/>
          <w:sz w:val="28"/>
          <w:szCs w:val="28"/>
        </w:rPr>
        <w:t>104 плановых осмотра объектов газоснабжения.</w:t>
      </w:r>
    </w:p>
    <w:p w:rsidR="00FD05FA" w:rsidRDefault="00FD05FA" w:rsidP="001B4CDD">
      <w:pPr>
        <w:suppressAutoHyphens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313FFC" w:rsidRPr="00313FFC" w:rsidRDefault="00313FFC" w:rsidP="001B4CDD">
      <w:pPr>
        <w:suppressAutoHyphens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Рис. 1</w:t>
      </w:r>
      <w:r w:rsidR="000722F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</w:p>
    <w:p w:rsidR="00313FFC" w:rsidRPr="00313FFC" w:rsidRDefault="00313FFC" w:rsidP="001B4CDD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3F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Обеспеченность жилищного фонда газом, %</w:t>
      </w:r>
    </w:p>
    <w:p w:rsidR="00313FFC" w:rsidRPr="00313FFC" w:rsidRDefault="00313FFC" w:rsidP="001B4CDD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noProof/>
          <w:kern w:val="1"/>
          <w:sz w:val="28"/>
          <w:szCs w:val="28"/>
          <w:lang w:eastAsia="ru-RU"/>
        </w:rPr>
        <w:lastRenderedPageBreak/>
        <w:drawing>
          <wp:inline distT="0" distB="0" distL="0" distR="0" wp14:anchorId="04F9C9AC" wp14:editId="7DBA900A">
            <wp:extent cx="5486400" cy="32004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FC">
        <w:rPr>
          <w:rFonts w:ascii="Times New Roman" w:eastAsia="Calibri" w:hAnsi="Times New Roman" w:cs="Times New Roman"/>
          <w:sz w:val="28"/>
          <w:szCs w:val="28"/>
        </w:rPr>
        <w:t>На обслуживании предприятия находится 20 котельных (2014 год - 19) общей мощностью 33,59 Гкал (2014 год - 33,19 Гкал).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Осуществлена подготовка 267,91 км (в 2014 году - 264 км) газопроводов разных давлений и установленных на них сооружений, находящихся </w:t>
      </w:r>
      <w:r w:rsidR="0087375B">
        <w:rPr>
          <w:rFonts w:ascii="Times New Roman" w:eastAsia="Calibri" w:hAnsi="Times New Roman" w:cs="Times New Roman"/>
          <w:sz w:val="28"/>
          <w:szCs w:val="28"/>
        </w:rPr>
        <w:br/>
      </w:r>
      <w:r w:rsidRPr="00313FFC">
        <w:rPr>
          <w:rFonts w:ascii="Times New Roman" w:eastAsia="Calibri" w:hAnsi="Times New Roman" w:cs="Times New Roman"/>
          <w:sz w:val="28"/>
          <w:szCs w:val="28"/>
        </w:rPr>
        <w:t>в муниципальной собственности, обслуживаемых на договорных отношениях, также бесхозяйных газопроводов. Основные производственные мероприятия:</w:t>
      </w:r>
    </w:p>
    <w:p w:rsidR="00313FFC" w:rsidRPr="00313FFC" w:rsidRDefault="000563C8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13FFC" w:rsidRPr="00313FFC">
        <w:rPr>
          <w:rFonts w:ascii="Times New Roman" w:eastAsia="Calibri" w:hAnsi="Times New Roman" w:cs="Times New Roman"/>
          <w:sz w:val="28"/>
          <w:szCs w:val="28"/>
        </w:rPr>
        <w:t xml:space="preserve">произведен текущий ремонт 12 головных газорегуляторных пунктов </w:t>
      </w:r>
      <w:r w:rsidR="0087375B">
        <w:rPr>
          <w:rFonts w:ascii="Times New Roman" w:eastAsia="Calibri" w:hAnsi="Times New Roman" w:cs="Times New Roman"/>
          <w:sz w:val="28"/>
          <w:szCs w:val="28"/>
        </w:rPr>
        <w:br/>
      </w:r>
      <w:r w:rsidR="00313FFC" w:rsidRPr="00313FFC">
        <w:rPr>
          <w:rFonts w:ascii="Times New Roman" w:eastAsia="Calibri" w:hAnsi="Times New Roman" w:cs="Times New Roman"/>
          <w:sz w:val="28"/>
          <w:szCs w:val="28"/>
        </w:rPr>
        <w:t>и 113 квартальных и домовых газораспределительных пунктов шкафного типа;</w:t>
      </w:r>
    </w:p>
    <w:p w:rsidR="00313FFC" w:rsidRPr="00313FFC" w:rsidRDefault="000563C8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13FFC" w:rsidRPr="00313FFC">
        <w:rPr>
          <w:rFonts w:ascii="Times New Roman" w:eastAsia="Calibri" w:hAnsi="Times New Roman" w:cs="Times New Roman"/>
          <w:sz w:val="28"/>
          <w:szCs w:val="28"/>
        </w:rPr>
        <w:t>выполнен текущий ремонт 6-ти станций катодной защиты стальных газопроводов высокого давления;</w:t>
      </w:r>
    </w:p>
    <w:p w:rsidR="00313FFC" w:rsidRPr="00313FFC" w:rsidRDefault="000563C8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13FFC" w:rsidRPr="00313FFC">
        <w:rPr>
          <w:rFonts w:ascii="Times New Roman" w:eastAsia="Calibri" w:hAnsi="Times New Roman" w:cs="Times New Roman"/>
          <w:sz w:val="28"/>
          <w:szCs w:val="28"/>
        </w:rPr>
        <w:t>выполнен текущий ремонт 75 отключающих устройств;</w:t>
      </w:r>
    </w:p>
    <w:p w:rsidR="00313FFC" w:rsidRPr="00313FFC" w:rsidRDefault="000563C8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13FFC" w:rsidRPr="00313FFC">
        <w:rPr>
          <w:rFonts w:ascii="Times New Roman" w:eastAsia="Calibri" w:hAnsi="Times New Roman" w:cs="Times New Roman"/>
          <w:sz w:val="28"/>
          <w:szCs w:val="28"/>
        </w:rPr>
        <w:t xml:space="preserve">окрашено более 250 метров распределительных надземных газопроводов </w:t>
      </w:r>
      <w:r w:rsidR="0087375B">
        <w:rPr>
          <w:rFonts w:ascii="Times New Roman" w:eastAsia="Calibri" w:hAnsi="Times New Roman" w:cs="Times New Roman"/>
          <w:sz w:val="28"/>
          <w:szCs w:val="28"/>
        </w:rPr>
        <w:br/>
      </w:r>
      <w:r w:rsidR="00313FFC" w:rsidRPr="00313FFC">
        <w:rPr>
          <w:rFonts w:ascii="Times New Roman" w:eastAsia="Calibri" w:hAnsi="Times New Roman" w:cs="Times New Roman"/>
          <w:sz w:val="28"/>
          <w:szCs w:val="28"/>
        </w:rPr>
        <w:t>и 300 метров фасадных газопроводов;</w:t>
      </w:r>
    </w:p>
    <w:p w:rsidR="00313FFC" w:rsidRPr="00313FFC" w:rsidRDefault="000563C8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13FFC" w:rsidRPr="00313FFC">
        <w:rPr>
          <w:rFonts w:ascii="Times New Roman" w:eastAsia="Calibri" w:hAnsi="Times New Roman" w:cs="Times New Roman"/>
          <w:sz w:val="28"/>
          <w:szCs w:val="28"/>
        </w:rPr>
        <w:t xml:space="preserve">произведены работы по </w:t>
      </w:r>
      <w:proofErr w:type="spellStart"/>
      <w:r w:rsidR="00313FFC" w:rsidRPr="00313FFC">
        <w:rPr>
          <w:rFonts w:ascii="Times New Roman" w:eastAsia="Calibri" w:hAnsi="Times New Roman" w:cs="Times New Roman"/>
          <w:sz w:val="28"/>
          <w:szCs w:val="28"/>
        </w:rPr>
        <w:t>обваловыванию</w:t>
      </w:r>
      <w:proofErr w:type="spellEnd"/>
      <w:r w:rsidR="00313FFC" w:rsidRPr="00313FFC">
        <w:rPr>
          <w:rFonts w:ascii="Times New Roman" w:eastAsia="Calibri" w:hAnsi="Times New Roman" w:cs="Times New Roman"/>
          <w:sz w:val="28"/>
          <w:szCs w:val="28"/>
        </w:rPr>
        <w:t xml:space="preserve"> 50 метров газопроводов и подсыпке 5 крановых узлов, установке указателей, осмотру состояния стальных газопроводов методом </w:t>
      </w:r>
      <w:proofErr w:type="spellStart"/>
      <w:r w:rsidR="00313FFC" w:rsidRPr="00313FFC">
        <w:rPr>
          <w:rFonts w:ascii="Times New Roman" w:eastAsia="Calibri" w:hAnsi="Times New Roman" w:cs="Times New Roman"/>
          <w:sz w:val="28"/>
          <w:szCs w:val="28"/>
        </w:rPr>
        <w:t>шурфования</w:t>
      </w:r>
      <w:proofErr w:type="spellEnd"/>
      <w:r w:rsidR="00313FFC" w:rsidRPr="00313F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Предприятием выполнен полный комплекс планово-предупредительных работ на 19 муниципальных котельных, находящихся в хозяйственном ведении </w:t>
      </w:r>
      <w:r w:rsidR="0087375B">
        <w:rPr>
          <w:rFonts w:ascii="Times New Roman" w:eastAsia="Calibri" w:hAnsi="Times New Roman" w:cs="Times New Roman"/>
          <w:sz w:val="28"/>
          <w:szCs w:val="28"/>
        </w:rPr>
        <w:br/>
      </w:r>
      <w:r w:rsidRPr="00313FFC">
        <w:rPr>
          <w:rFonts w:ascii="Times New Roman" w:eastAsia="Calibri" w:hAnsi="Times New Roman" w:cs="Times New Roman"/>
          <w:sz w:val="28"/>
          <w:szCs w:val="28"/>
        </w:rPr>
        <w:t>МП «Ханты-</w:t>
      </w:r>
      <w:proofErr w:type="spellStart"/>
      <w:r w:rsidRPr="00313FFC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», в целях подготовки объектов теплоснабжения. Произведена замена выработавшего ресурс </w:t>
      </w:r>
      <w:proofErr w:type="spellStart"/>
      <w:r w:rsidRPr="00313FFC">
        <w:rPr>
          <w:rFonts w:ascii="Times New Roman" w:eastAsia="Calibri" w:hAnsi="Times New Roman" w:cs="Times New Roman"/>
          <w:sz w:val="28"/>
          <w:szCs w:val="28"/>
        </w:rPr>
        <w:t>подпиточного</w:t>
      </w:r>
      <w:proofErr w:type="spellEnd"/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 насоса на котельной «Детский сад ОМК».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Заменены регуляторы давления газа на газораспределительных устройствах котельных: жилого дома на </w:t>
      </w:r>
      <w:proofErr w:type="spellStart"/>
      <w:r w:rsidRPr="00313FFC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313FFC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313FFC">
        <w:rPr>
          <w:rFonts w:ascii="Times New Roman" w:eastAsia="Calibri" w:hAnsi="Times New Roman" w:cs="Times New Roman"/>
          <w:sz w:val="28"/>
          <w:szCs w:val="28"/>
        </w:rPr>
        <w:t>абережная</w:t>
      </w:r>
      <w:proofErr w:type="spellEnd"/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, Студгородка, метеостанции, общежитий ОТРК </w:t>
      </w:r>
      <w:r w:rsidR="000563C8">
        <w:rPr>
          <w:rFonts w:ascii="Times New Roman" w:eastAsia="Calibri" w:hAnsi="Times New Roman" w:cs="Times New Roman"/>
          <w:sz w:val="28"/>
          <w:szCs w:val="28"/>
        </w:rPr>
        <w:t>«</w:t>
      </w:r>
      <w:r w:rsidRPr="00313FFC">
        <w:rPr>
          <w:rFonts w:ascii="Times New Roman" w:eastAsia="Calibri" w:hAnsi="Times New Roman" w:cs="Times New Roman"/>
          <w:sz w:val="28"/>
          <w:szCs w:val="28"/>
        </w:rPr>
        <w:t>Югра</w:t>
      </w:r>
      <w:r w:rsidR="000563C8">
        <w:rPr>
          <w:rFonts w:ascii="Times New Roman" w:eastAsia="Calibri" w:hAnsi="Times New Roman" w:cs="Times New Roman"/>
          <w:sz w:val="28"/>
          <w:szCs w:val="28"/>
        </w:rPr>
        <w:t>»</w:t>
      </w:r>
      <w:r w:rsidRPr="00313FFC">
        <w:rPr>
          <w:rFonts w:ascii="Times New Roman" w:eastAsia="Calibri" w:hAnsi="Times New Roman" w:cs="Times New Roman"/>
          <w:sz w:val="28"/>
          <w:szCs w:val="28"/>
        </w:rPr>
        <w:t>, также произведена замена 4-х задвижек на котельной «Студенческий городок».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FC">
        <w:rPr>
          <w:rFonts w:ascii="Times New Roman" w:eastAsia="Calibri" w:hAnsi="Times New Roman" w:cs="Times New Roman"/>
          <w:sz w:val="28"/>
          <w:szCs w:val="28"/>
        </w:rPr>
        <w:t>Заменены участки теплотрассы протяженностью 200 м на котельной «Наблюдательный комплекс и метеорологическая площадка».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FC">
        <w:rPr>
          <w:rFonts w:ascii="Times New Roman" w:eastAsia="Calibri" w:hAnsi="Times New Roman" w:cs="Times New Roman"/>
          <w:sz w:val="28"/>
          <w:szCs w:val="28"/>
        </w:rPr>
        <w:t>МП «Ханты-</w:t>
      </w:r>
      <w:proofErr w:type="spellStart"/>
      <w:r w:rsidRPr="00313FFC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» в 2015 году газифицировано 205 объектов </w:t>
      </w:r>
      <w:r w:rsidR="000563C8">
        <w:rPr>
          <w:rFonts w:ascii="Times New Roman" w:eastAsia="Calibri" w:hAnsi="Times New Roman" w:cs="Times New Roman"/>
          <w:sz w:val="28"/>
          <w:szCs w:val="28"/>
        </w:rPr>
        <w:br/>
      </w: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(2014 год - 105), 8 многоквартирных жилых домов и 192 домовладения </w:t>
      </w:r>
      <w:r w:rsidRPr="00313F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физических лиц, 5 объектов юридических лиц. Реконструировано 2 объекта сетей </w:t>
      </w:r>
      <w:proofErr w:type="spellStart"/>
      <w:r w:rsidRPr="00313FFC">
        <w:rPr>
          <w:rFonts w:ascii="Times New Roman" w:eastAsia="Calibri" w:hAnsi="Times New Roman" w:cs="Times New Roman"/>
          <w:sz w:val="28"/>
          <w:szCs w:val="28"/>
        </w:rPr>
        <w:t>газопотребления</w:t>
      </w:r>
      <w:proofErr w:type="spellEnd"/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 юридических лиц и 15 физических лиц.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FC">
        <w:rPr>
          <w:rFonts w:ascii="Times New Roman" w:eastAsia="Calibri" w:hAnsi="Times New Roman" w:cs="Times New Roman"/>
          <w:sz w:val="28"/>
          <w:szCs w:val="28"/>
        </w:rPr>
        <w:t xml:space="preserve">Осуществлен перевод 10 многоквартирных жилых домов со сжиженного </w:t>
      </w:r>
      <w:r w:rsidR="0087375B">
        <w:rPr>
          <w:rFonts w:ascii="Times New Roman" w:eastAsia="Calibri" w:hAnsi="Times New Roman" w:cs="Times New Roman"/>
          <w:sz w:val="28"/>
          <w:szCs w:val="28"/>
        </w:rPr>
        <w:br/>
      </w:r>
      <w:r w:rsidRPr="00313FFC">
        <w:rPr>
          <w:rFonts w:ascii="Times New Roman" w:eastAsia="Calibri" w:hAnsi="Times New Roman" w:cs="Times New Roman"/>
          <w:sz w:val="28"/>
          <w:szCs w:val="28"/>
        </w:rPr>
        <w:t>на природный газ, всего 154 квартиры.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FC">
        <w:rPr>
          <w:rFonts w:ascii="Times New Roman" w:eastAsia="Calibri" w:hAnsi="Times New Roman" w:cs="Times New Roman"/>
          <w:sz w:val="28"/>
          <w:szCs w:val="28"/>
        </w:rPr>
        <w:t>МП «Ханты-</w:t>
      </w:r>
      <w:proofErr w:type="spellStart"/>
      <w:r w:rsidRPr="00313FFC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Pr="00313FFC">
        <w:rPr>
          <w:rFonts w:ascii="Times New Roman" w:eastAsia="Calibri" w:hAnsi="Times New Roman" w:cs="Times New Roman"/>
          <w:sz w:val="28"/>
          <w:szCs w:val="28"/>
        </w:rPr>
        <w:t>» осуществляет техническое обслуживание внутридомового газового оборудования 11401 абонента, или 78% от общего количества (14619 абонентов). Обслуживание остальных 22% осуществляются иными специализированными организациями.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FC">
        <w:rPr>
          <w:rFonts w:ascii="Times New Roman" w:eastAsia="Calibri" w:hAnsi="Times New Roman" w:cs="Times New Roman"/>
          <w:sz w:val="28"/>
          <w:szCs w:val="28"/>
        </w:rPr>
        <w:t>Всего за 2015 год реализовано 1056,26 тонны сжиженного газа (2014 год - 906,2 тонны).</w:t>
      </w:r>
    </w:p>
    <w:p w:rsidR="00313FFC" w:rsidRPr="00313FFC" w:rsidRDefault="00313FFC" w:rsidP="001B4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bookmarkEnd w:id="1"/>
    <w:p w:rsidR="00FC6D12" w:rsidRPr="00FC133B" w:rsidRDefault="00FC6D12" w:rsidP="00A367AC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i/>
          <w:highlight w:val="yellow"/>
          <w:lang w:val="x-none" w:eastAsia="x-none"/>
        </w:rPr>
        <w:sectPr w:rsidR="00FC6D12" w:rsidRPr="00FC133B" w:rsidSect="00AA7E3E">
          <w:footerReference w:type="default" r:id="rId24"/>
          <w:pgSz w:w="11906" w:h="16838"/>
          <w:pgMar w:top="1134" w:right="851" w:bottom="851" w:left="1134" w:header="708" w:footer="708" w:gutter="0"/>
          <w:cols w:space="708"/>
          <w:docGrid w:linePitch="360"/>
        </w:sectPr>
      </w:pPr>
    </w:p>
    <w:p w:rsidR="006736C6" w:rsidRPr="00891BC2" w:rsidRDefault="006736C6" w:rsidP="006736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1BC2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:rsidR="00CA0EE3" w:rsidRDefault="006736C6" w:rsidP="00673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466"/>
      <w:bookmarkEnd w:id="4"/>
      <w:r w:rsidRPr="00891BC2">
        <w:rPr>
          <w:rFonts w:ascii="Times New Roman" w:hAnsi="Times New Roman" w:cs="Times New Roman"/>
          <w:sz w:val="28"/>
          <w:szCs w:val="28"/>
        </w:rPr>
        <w:t>Информация о состоянии жилищного фонда в городских округах</w:t>
      </w:r>
      <w:r w:rsidR="00CA0EE3">
        <w:rPr>
          <w:rFonts w:ascii="Times New Roman" w:hAnsi="Times New Roman" w:cs="Times New Roman"/>
          <w:sz w:val="28"/>
          <w:szCs w:val="28"/>
        </w:rPr>
        <w:t xml:space="preserve"> </w:t>
      </w:r>
      <w:r w:rsidRPr="00891BC2">
        <w:rPr>
          <w:rFonts w:ascii="Times New Roman" w:hAnsi="Times New Roman" w:cs="Times New Roman"/>
          <w:sz w:val="28"/>
          <w:szCs w:val="28"/>
        </w:rPr>
        <w:t>и муниципальных районах</w:t>
      </w:r>
    </w:p>
    <w:p w:rsidR="006736C6" w:rsidRPr="00891BC2" w:rsidRDefault="006736C6" w:rsidP="00673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BC2">
        <w:rPr>
          <w:rFonts w:ascii="Times New Roman" w:hAnsi="Times New Roman" w:cs="Times New Roman"/>
          <w:sz w:val="28"/>
          <w:szCs w:val="28"/>
        </w:rPr>
        <w:t>Ханты-Мансийского автономного</w:t>
      </w:r>
      <w:r w:rsidR="00CA0EE3">
        <w:rPr>
          <w:rFonts w:ascii="Times New Roman" w:hAnsi="Times New Roman" w:cs="Times New Roman"/>
          <w:sz w:val="28"/>
          <w:szCs w:val="28"/>
        </w:rPr>
        <w:t xml:space="preserve"> </w:t>
      </w:r>
      <w:r w:rsidRPr="00891BC2">
        <w:rPr>
          <w:rFonts w:ascii="Times New Roman" w:hAnsi="Times New Roman" w:cs="Times New Roman"/>
          <w:sz w:val="28"/>
          <w:szCs w:val="28"/>
        </w:rPr>
        <w:t>округа - Югры за отчетный период, кв. метров</w:t>
      </w:r>
    </w:p>
    <w:p w:rsidR="006736C6" w:rsidRPr="00891BC2" w:rsidRDefault="006736C6" w:rsidP="00673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1BC2">
        <w:rPr>
          <w:rFonts w:ascii="Times New Roman" w:hAnsi="Times New Roman" w:cs="Times New Roman"/>
          <w:sz w:val="28"/>
          <w:szCs w:val="28"/>
          <w:u w:val="single"/>
        </w:rPr>
        <w:t>город Ханты-Мансийск</w:t>
      </w:r>
    </w:p>
    <w:p w:rsidR="006736C6" w:rsidRPr="00891BC2" w:rsidRDefault="006736C6" w:rsidP="00673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BC2">
        <w:rPr>
          <w:rFonts w:ascii="Times New Roman" w:hAnsi="Times New Roman" w:cs="Times New Roman"/>
          <w:sz w:val="28"/>
          <w:szCs w:val="28"/>
        </w:rPr>
        <w:t>наименование городского округа (муниципального района)</w:t>
      </w:r>
    </w:p>
    <w:p w:rsidR="006736C6" w:rsidRPr="00891BC2" w:rsidRDefault="006736C6" w:rsidP="00673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82" w:type="dxa"/>
        <w:tblInd w:w="93" w:type="dxa"/>
        <w:tblLayout w:type="fixed"/>
        <w:tblCellMar>
          <w:top w:w="75" w:type="dxa"/>
          <w:bottom w:w="75" w:type="dxa"/>
        </w:tblCellMar>
        <w:tblLook w:val="04A0" w:firstRow="1" w:lastRow="0" w:firstColumn="1" w:lastColumn="0" w:noHBand="0" w:noVBand="1"/>
      </w:tblPr>
      <w:tblGrid>
        <w:gridCol w:w="1245"/>
        <w:gridCol w:w="1605"/>
        <w:gridCol w:w="1436"/>
        <w:gridCol w:w="1436"/>
        <w:gridCol w:w="1523"/>
        <w:gridCol w:w="992"/>
        <w:gridCol w:w="1417"/>
        <w:gridCol w:w="1134"/>
        <w:gridCol w:w="1559"/>
        <w:gridCol w:w="1134"/>
        <w:gridCol w:w="1701"/>
      </w:tblGrid>
      <w:tr w:rsidR="00AB29CD" w:rsidRPr="00AB29CD" w:rsidTr="0041179E">
        <w:trPr>
          <w:trHeight w:val="330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жилых помещений на начало года, всего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Выбыло общей площади жилых помещений за год, всего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жилых помещений, введенная в действие за год</w:t>
            </w:r>
          </w:p>
        </w:tc>
      </w:tr>
      <w:tr w:rsidR="00AB29CD" w:rsidRPr="00AB29CD" w:rsidTr="0041179E">
        <w:trPr>
          <w:trHeight w:val="1905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ветхого жилищного фонда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аварийного жилищного фонда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пригодного для проживания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снесено по причине ветхости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снесено по причине аварийности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причины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9CD" w:rsidRPr="00AB29CD" w:rsidTr="0041179E">
        <w:trPr>
          <w:trHeight w:val="33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1 725 700 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83 000 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1 642 700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84 000  </w:t>
            </w:r>
          </w:p>
        </w:tc>
      </w:tr>
      <w:tr w:rsidR="00AB29CD" w:rsidRPr="00AB29CD" w:rsidTr="0041179E">
        <w:trPr>
          <w:trHeight w:val="33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1 805 300 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83 600 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1 721 700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106 800  </w:t>
            </w:r>
          </w:p>
        </w:tc>
      </w:tr>
      <w:tr w:rsidR="00AB29CD" w:rsidRPr="00AB29CD" w:rsidTr="0041179E">
        <w:trPr>
          <w:trHeight w:val="33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1 906 300 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78 200 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23 800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1 804 300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111 200  </w:t>
            </w:r>
          </w:p>
        </w:tc>
      </w:tr>
      <w:tr w:rsidR="00AB29CD" w:rsidRPr="00AB29CD" w:rsidTr="0041179E">
        <w:trPr>
          <w:trHeight w:val="33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2 014 700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1 905 800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</w:t>
            </w:r>
          </w:p>
        </w:tc>
      </w:tr>
      <w:tr w:rsidR="00AB29CD" w:rsidRPr="00AB29CD" w:rsidTr="0041179E">
        <w:trPr>
          <w:trHeight w:val="33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2 150 500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2 049 500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110 000</w:t>
            </w:r>
          </w:p>
        </w:tc>
      </w:tr>
      <w:tr w:rsidR="00AB29CD" w:rsidRPr="00AB29CD" w:rsidTr="0041179E">
        <w:trPr>
          <w:trHeight w:val="33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2 256 500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2 151 500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</w:tr>
      <w:tr w:rsidR="00AB29CD" w:rsidRPr="00AB29CD" w:rsidTr="0041179E">
        <w:trPr>
          <w:trHeight w:val="33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2 352 500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2 247 500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CD" w:rsidRPr="00AB29CD" w:rsidRDefault="00AB29CD" w:rsidP="00A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</w:tr>
    </w:tbl>
    <w:p w:rsidR="00CA0EE3" w:rsidRDefault="00CA0EE3" w:rsidP="00CA0E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09F">
        <w:rPr>
          <w:rFonts w:ascii="Times New Roman" w:eastAsia="Calibri" w:hAnsi="Times New Roman" w:cs="Times New Roman"/>
          <w:sz w:val="28"/>
          <w:szCs w:val="28"/>
        </w:rPr>
        <w:t xml:space="preserve">Общая площадь жилищного фонда города Ханты-Мансийска по состоянию на 01.01.2016 составляет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D109F">
        <w:rPr>
          <w:rFonts w:ascii="Times New Roman" w:eastAsia="Calibri" w:hAnsi="Times New Roman" w:cs="Times New Roman"/>
          <w:sz w:val="28"/>
          <w:szCs w:val="28"/>
        </w:rPr>
        <w:t xml:space="preserve">2150,5 тыс. </w:t>
      </w:r>
      <w:proofErr w:type="spellStart"/>
      <w:r w:rsidRPr="009D109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109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D109F">
        <w:rPr>
          <w:rFonts w:ascii="Times New Roman" w:eastAsia="Calibri" w:hAnsi="Times New Roman" w:cs="Times New Roman"/>
          <w:sz w:val="28"/>
          <w:szCs w:val="28"/>
        </w:rPr>
        <w:t xml:space="preserve"> из которой: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0EE3" w:rsidRPr="009D109F" w:rsidRDefault="00CA0EE3" w:rsidP="00CA0E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09F">
        <w:rPr>
          <w:rFonts w:ascii="Times New Roman" w:eastAsia="Calibri" w:hAnsi="Times New Roman" w:cs="Times New Roman"/>
          <w:sz w:val="28"/>
          <w:szCs w:val="28"/>
        </w:rPr>
        <w:t xml:space="preserve">площадь ветхого жилищного фонда (с процентом износа конструктивных элементов здания свыше 65%) составляет 74,8 тыс. </w:t>
      </w:r>
      <w:proofErr w:type="spellStart"/>
      <w:r w:rsidRPr="009D109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109F">
        <w:rPr>
          <w:rFonts w:ascii="Times New Roman" w:eastAsia="Calibri" w:hAnsi="Times New Roman" w:cs="Times New Roman"/>
          <w:sz w:val="28"/>
          <w:szCs w:val="28"/>
        </w:rPr>
        <w:t>., что на 10,7 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меньше чем в 2014 году;</w:t>
      </w:r>
    </w:p>
    <w:p w:rsidR="00CA0EE3" w:rsidRPr="009D109F" w:rsidRDefault="00CA0EE3" w:rsidP="00CA0E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09F">
        <w:rPr>
          <w:rFonts w:ascii="Times New Roman" w:eastAsia="Calibri" w:hAnsi="Times New Roman" w:cs="Times New Roman"/>
          <w:sz w:val="28"/>
          <w:szCs w:val="28"/>
        </w:rPr>
        <w:t xml:space="preserve">площадь аварийного жилищного фонда составляет 26,2 </w:t>
      </w:r>
      <w:proofErr w:type="spellStart"/>
      <w:r w:rsidRPr="009D109F">
        <w:rPr>
          <w:rFonts w:ascii="Times New Roman" w:eastAsia="Calibri" w:hAnsi="Times New Roman" w:cs="Times New Roman"/>
          <w:sz w:val="28"/>
          <w:szCs w:val="28"/>
        </w:rPr>
        <w:t>тыс.кв.м</w:t>
      </w:r>
      <w:proofErr w:type="spellEnd"/>
      <w:r w:rsidRPr="009D109F">
        <w:rPr>
          <w:rFonts w:ascii="Times New Roman" w:eastAsia="Calibri" w:hAnsi="Times New Roman" w:cs="Times New Roman"/>
          <w:sz w:val="28"/>
          <w:szCs w:val="28"/>
        </w:rPr>
        <w:t xml:space="preserve">, что на 2,8 </w:t>
      </w:r>
      <w:proofErr w:type="spellStart"/>
      <w:r w:rsidRPr="009D109F">
        <w:rPr>
          <w:rFonts w:ascii="Times New Roman" w:eastAsia="Calibri" w:hAnsi="Times New Roman" w:cs="Times New Roman"/>
          <w:sz w:val="28"/>
          <w:szCs w:val="28"/>
        </w:rPr>
        <w:t>тыс.кв.м</w:t>
      </w:r>
      <w:proofErr w:type="spellEnd"/>
      <w:r w:rsidRPr="009D109F">
        <w:rPr>
          <w:rFonts w:ascii="Times New Roman" w:eastAsia="Calibri" w:hAnsi="Times New Roman" w:cs="Times New Roman"/>
          <w:sz w:val="28"/>
          <w:szCs w:val="28"/>
        </w:rPr>
        <w:t xml:space="preserve"> больше чем в 2014 году.</w:t>
      </w:r>
    </w:p>
    <w:p w:rsidR="00CA0EE3" w:rsidRPr="009D109F" w:rsidRDefault="00CA0EE3" w:rsidP="00CA0E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09F">
        <w:rPr>
          <w:rFonts w:ascii="Times New Roman" w:eastAsia="Calibri" w:hAnsi="Times New Roman" w:cs="Times New Roman"/>
          <w:sz w:val="28"/>
          <w:szCs w:val="28"/>
        </w:rPr>
        <w:lastRenderedPageBreak/>
        <w:t>Площадь аварийного жилого фонда увеличилась в связи с активизацией собственников помещений в многоквартирных домах в инициировании процедуры признания многоквартирных домов аварийными и подлежащими сносу.</w:t>
      </w:r>
    </w:p>
    <w:p w:rsidR="00CA0EE3" w:rsidRPr="009D109F" w:rsidRDefault="00CA0EE3" w:rsidP="00CA0E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09F">
        <w:rPr>
          <w:rFonts w:ascii="Times New Roman" w:eastAsia="Calibri" w:hAnsi="Times New Roman" w:cs="Times New Roman"/>
          <w:sz w:val="28"/>
          <w:szCs w:val="28"/>
        </w:rPr>
        <w:t>Продолжена реализация мероприятий по ликвидации аварийного жилищного фонда.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109F">
        <w:rPr>
          <w:rFonts w:ascii="Times New Roman" w:eastAsia="Calibri" w:hAnsi="Times New Roman" w:cs="Times New Roman"/>
          <w:sz w:val="28"/>
          <w:szCs w:val="28"/>
        </w:rPr>
        <w:t>В 2015 году было снесено 9 аварийных домов общей площадью 4,2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09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109F">
        <w:rPr>
          <w:rFonts w:ascii="Times New Roman" w:eastAsia="Calibri" w:hAnsi="Times New Roman" w:cs="Times New Roman"/>
          <w:sz w:val="28"/>
          <w:szCs w:val="28"/>
        </w:rPr>
        <w:t>., что на 1,4 тыс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больше чем за 2014году.</w:t>
      </w:r>
    </w:p>
    <w:p w:rsidR="00CA0EE3" w:rsidRPr="009D109F" w:rsidRDefault="00CA0EE3" w:rsidP="00CA0E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09F">
        <w:rPr>
          <w:rFonts w:ascii="Times New Roman" w:eastAsia="Calibri" w:hAnsi="Times New Roman" w:cs="Times New Roman"/>
          <w:sz w:val="28"/>
          <w:szCs w:val="28"/>
        </w:rPr>
        <w:t>В 2015 году в эксплуатацию введено 18 многоквартирных домов общей площадью 120,1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09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109F">
        <w:rPr>
          <w:rFonts w:ascii="Times New Roman" w:eastAsia="Calibri" w:hAnsi="Times New Roman" w:cs="Times New Roman"/>
          <w:sz w:val="28"/>
          <w:szCs w:val="28"/>
        </w:rPr>
        <w:t>. и 19,9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09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109F">
        <w:rPr>
          <w:rFonts w:ascii="Times New Roman" w:eastAsia="Calibri" w:hAnsi="Times New Roman" w:cs="Times New Roman"/>
          <w:sz w:val="28"/>
          <w:szCs w:val="28"/>
        </w:rPr>
        <w:t>. индивидуального жилого фонда. За 2014 год было введено 111,2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09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109F">
        <w:rPr>
          <w:rFonts w:ascii="Times New Roman" w:eastAsia="Calibri" w:hAnsi="Times New Roman" w:cs="Times New Roman"/>
          <w:sz w:val="28"/>
          <w:szCs w:val="28"/>
        </w:rPr>
        <w:t xml:space="preserve"> общей площади жилищного фонда.</w:t>
      </w:r>
    </w:p>
    <w:p w:rsidR="00AB29CD" w:rsidRPr="00AB29CD" w:rsidRDefault="00AB29CD" w:rsidP="00AB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D80" w:rsidRDefault="00207D80" w:rsidP="006736C6">
      <w:pPr>
        <w:spacing w:after="160" w:line="259" w:lineRule="auto"/>
        <w:rPr>
          <w:highlight w:val="yellow"/>
        </w:rPr>
      </w:pPr>
    </w:p>
    <w:p w:rsidR="00811B56" w:rsidRDefault="00811B56" w:rsidP="006736C6">
      <w:pPr>
        <w:spacing w:after="160" w:line="259" w:lineRule="auto"/>
        <w:rPr>
          <w:highlight w:val="yellow"/>
        </w:rPr>
        <w:sectPr w:rsidR="00811B56" w:rsidSect="00AA7E3E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811B56" w:rsidRPr="00FC133B" w:rsidRDefault="00811B56" w:rsidP="006736C6">
      <w:pPr>
        <w:spacing w:after="160" w:line="259" w:lineRule="auto"/>
        <w:rPr>
          <w:highlight w:val="yellow"/>
        </w:rPr>
      </w:pPr>
    </w:p>
    <w:p w:rsidR="006736C6" w:rsidRDefault="00D747C7" w:rsidP="00D747C7">
      <w:pPr>
        <w:pStyle w:val="1"/>
        <w:numPr>
          <w:ilvl w:val="1"/>
          <w:numId w:val="1"/>
        </w:numPr>
        <w:spacing w:before="0" w:line="240" w:lineRule="auto"/>
        <w:jc w:val="center"/>
        <w:rPr>
          <w:rFonts w:ascii="Times New Roman" w:eastAsia="Calibri" w:hAnsi="Times New Roman" w:cs="Times New Roman"/>
          <w:color w:val="auto"/>
          <w:lang w:eastAsia="ru-RU"/>
        </w:rPr>
      </w:pPr>
      <w:r w:rsidRPr="0041179E">
        <w:rPr>
          <w:rFonts w:ascii="Times New Roman" w:eastAsia="Calibri" w:hAnsi="Times New Roman" w:cs="Times New Roman"/>
          <w:color w:val="auto"/>
          <w:lang w:eastAsia="ru-RU"/>
        </w:rPr>
        <w:t>Охрана прав граждан и юридических лиц</w:t>
      </w:r>
    </w:p>
    <w:p w:rsidR="00B3207F" w:rsidRDefault="00B3207F" w:rsidP="00B320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07F" w:rsidRPr="00B3207F" w:rsidRDefault="00B3207F" w:rsidP="00B3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07F">
        <w:rPr>
          <w:rFonts w:ascii="Times New Roman" w:hAnsi="Times New Roman" w:cs="Times New Roman"/>
          <w:sz w:val="28"/>
          <w:szCs w:val="28"/>
          <w:lang w:eastAsia="ru-RU"/>
        </w:rPr>
        <w:t xml:space="preserve">В 2015 году в суды поступило 28 обращений физических и юридических лиц по обжалованию действий (бездействий) органов Администрации города </w:t>
      </w:r>
      <w:r w:rsidR="0087375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207F">
        <w:rPr>
          <w:rFonts w:ascii="Times New Roman" w:hAnsi="Times New Roman" w:cs="Times New Roman"/>
          <w:sz w:val="28"/>
          <w:szCs w:val="28"/>
          <w:lang w:eastAsia="ru-RU"/>
        </w:rPr>
        <w:t xml:space="preserve">Ханты-Мансийска, что на 17,6% меньше по сравнению по итогам работы 2014 года </w:t>
      </w:r>
      <w:r w:rsidR="0087375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207F">
        <w:rPr>
          <w:rFonts w:ascii="Times New Roman" w:hAnsi="Times New Roman" w:cs="Times New Roman"/>
          <w:sz w:val="28"/>
          <w:szCs w:val="28"/>
          <w:lang w:eastAsia="ru-RU"/>
        </w:rPr>
        <w:t xml:space="preserve">(34 обращения). Из общего числа обращений, основную долю 85,7% </w:t>
      </w:r>
      <w:r w:rsidR="003D2F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207F">
        <w:rPr>
          <w:rFonts w:ascii="Times New Roman" w:hAnsi="Times New Roman" w:cs="Times New Roman"/>
          <w:sz w:val="28"/>
          <w:szCs w:val="28"/>
          <w:lang w:eastAsia="ru-RU"/>
        </w:rPr>
        <w:t>(24</w:t>
      </w:r>
      <w:r w:rsidR="000563C8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B3207F">
        <w:rPr>
          <w:rFonts w:ascii="Times New Roman" w:hAnsi="Times New Roman" w:cs="Times New Roman"/>
          <w:sz w:val="28"/>
          <w:szCs w:val="28"/>
          <w:lang w:eastAsia="ru-RU"/>
        </w:rPr>
        <w:t>) составляют обращения физических лиц, что 20% меньше по сравнению по итогам работы 2014 года (30</w:t>
      </w:r>
      <w:r w:rsidR="000563C8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B3207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3207F" w:rsidRPr="00B3207F" w:rsidRDefault="00B3207F" w:rsidP="00B3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07F">
        <w:rPr>
          <w:rFonts w:ascii="Times New Roman" w:hAnsi="Times New Roman" w:cs="Times New Roman"/>
          <w:sz w:val="28"/>
          <w:szCs w:val="28"/>
          <w:lang w:eastAsia="ru-RU"/>
        </w:rPr>
        <w:t xml:space="preserve">Доля обращений юридических лиц от общего числа незначительна </w:t>
      </w:r>
      <w:r w:rsidR="003D2F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207F">
        <w:rPr>
          <w:rFonts w:ascii="Times New Roman" w:hAnsi="Times New Roman" w:cs="Times New Roman"/>
          <w:sz w:val="28"/>
          <w:szCs w:val="28"/>
          <w:lang w:eastAsia="ru-RU"/>
        </w:rPr>
        <w:t>и составляет 14,2%. Вместе с тем таких обращений в суды поступило в три раза больше чем в 2014 году (4</w:t>
      </w:r>
      <w:r w:rsidR="000563C8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B3207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3207F" w:rsidRPr="00B3207F" w:rsidRDefault="00B3207F" w:rsidP="00B3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07F">
        <w:rPr>
          <w:rFonts w:ascii="Times New Roman" w:hAnsi="Times New Roman" w:cs="Times New Roman"/>
          <w:sz w:val="28"/>
          <w:szCs w:val="28"/>
          <w:lang w:eastAsia="ru-RU"/>
        </w:rPr>
        <w:t>Всего в 2015 году по результатам рассмотрения обращений, судами удовлетворено 13, что 45,8% меньше в сравнении с 2014 годом (24</w:t>
      </w:r>
      <w:r w:rsidR="000563C8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B3207F">
        <w:rPr>
          <w:rFonts w:ascii="Times New Roman" w:hAnsi="Times New Roman" w:cs="Times New Roman"/>
          <w:sz w:val="28"/>
          <w:szCs w:val="28"/>
          <w:lang w:eastAsia="ru-RU"/>
        </w:rPr>
        <w:t xml:space="preserve">), данный показатель имеет положительную динамику. Количество отказов </w:t>
      </w:r>
      <w:r w:rsidR="003D2F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207F">
        <w:rPr>
          <w:rFonts w:ascii="Times New Roman" w:hAnsi="Times New Roman" w:cs="Times New Roman"/>
          <w:sz w:val="28"/>
          <w:szCs w:val="28"/>
          <w:lang w:eastAsia="ru-RU"/>
        </w:rPr>
        <w:t>в удовлетворении осталось на уровне 2014 года (10</w:t>
      </w:r>
      <w:r w:rsidR="000563C8">
        <w:rPr>
          <w:rFonts w:ascii="Times New Roman" w:hAnsi="Times New Roman" w:cs="Times New Roman"/>
          <w:sz w:val="28"/>
          <w:szCs w:val="28"/>
          <w:lang w:eastAsia="ru-RU"/>
        </w:rPr>
        <w:t xml:space="preserve"> отказов</w:t>
      </w:r>
      <w:r w:rsidRPr="00B3207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3207F" w:rsidRPr="00B3207F" w:rsidRDefault="00B3207F" w:rsidP="00B3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07F">
        <w:rPr>
          <w:rFonts w:ascii="Times New Roman" w:hAnsi="Times New Roman" w:cs="Times New Roman"/>
          <w:sz w:val="28"/>
          <w:szCs w:val="28"/>
          <w:lang w:eastAsia="ru-RU"/>
        </w:rPr>
        <w:t xml:space="preserve">Доля удовлетворенных обращений в 2015 году составляет 46,4% </w:t>
      </w:r>
      <w:r w:rsidR="003D2F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207F">
        <w:rPr>
          <w:rFonts w:ascii="Times New Roman" w:hAnsi="Times New Roman" w:cs="Times New Roman"/>
          <w:sz w:val="28"/>
          <w:szCs w:val="28"/>
          <w:lang w:eastAsia="ru-RU"/>
        </w:rPr>
        <w:t>(13</w:t>
      </w:r>
      <w:r w:rsidR="000563C8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B3207F">
        <w:rPr>
          <w:rFonts w:ascii="Times New Roman" w:hAnsi="Times New Roman" w:cs="Times New Roman"/>
          <w:sz w:val="28"/>
          <w:szCs w:val="28"/>
          <w:lang w:eastAsia="ru-RU"/>
        </w:rPr>
        <w:t>) от общего количества обращения (28</w:t>
      </w:r>
      <w:r w:rsidR="000563C8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B3207F">
        <w:rPr>
          <w:rFonts w:ascii="Times New Roman" w:hAnsi="Times New Roman" w:cs="Times New Roman"/>
          <w:sz w:val="28"/>
          <w:szCs w:val="28"/>
          <w:lang w:eastAsia="ru-RU"/>
        </w:rPr>
        <w:t>), а в 2014 году это</w:t>
      </w:r>
      <w:r w:rsidR="0087375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B3207F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показатель составил 70,5% (всего поступило 34</w:t>
      </w:r>
      <w:r w:rsidR="000563C8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B3207F">
        <w:rPr>
          <w:rFonts w:ascii="Times New Roman" w:hAnsi="Times New Roman" w:cs="Times New Roman"/>
          <w:sz w:val="28"/>
          <w:szCs w:val="28"/>
          <w:lang w:eastAsia="ru-RU"/>
        </w:rPr>
        <w:t>, из них удовлетворено 24). Данный показатель также имеет положительную динамику.</w:t>
      </w:r>
    </w:p>
    <w:p w:rsidR="00B3207F" w:rsidRPr="00B3207F" w:rsidRDefault="00B3207F" w:rsidP="00B3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07F">
        <w:rPr>
          <w:rFonts w:ascii="Times New Roman" w:hAnsi="Times New Roman" w:cs="Times New Roman"/>
          <w:sz w:val="28"/>
          <w:szCs w:val="28"/>
          <w:lang w:eastAsia="ru-RU"/>
        </w:rPr>
        <w:t>Наибольшее количество обращений из общего числа составляют обращения в сфере жилищных и земельных отношений 67,8% (19</w:t>
      </w:r>
      <w:r w:rsidR="000563C8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B3207F">
        <w:rPr>
          <w:rFonts w:ascii="Times New Roman" w:hAnsi="Times New Roman" w:cs="Times New Roman"/>
          <w:sz w:val="28"/>
          <w:szCs w:val="28"/>
          <w:lang w:eastAsia="ru-RU"/>
        </w:rPr>
        <w:t>), что на 9,5% меньше по сравнению с 2014 годом (21</w:t>
      </w:r>
      <w:r w:rsidR="000563C8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обращение</w:t>
      </w:r>
      <w:r w:rsidRPr="00B3207F">
        <w:rPr>
          <w:rFonts w:ascii="Times New Roman" w:hAnsi="Times New Roman" w:cs="Times New Roman"/>
          <w:sz w:val="28"/>
          <w:szCs w:val="28"/>
          <w:lang w:eastAsia="ru-RU"/>
        </w:rPr>
        <w:t>), из них:</w:t>
      </w:r>
    </w:p>
    <w:p w:rsidR="00B3207F" w:rsidRPr="00B3207F" w:rsidRDefault="000563C8" w:rsidP="00B3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3207F" w:rsidRPr="00B3207F">
        <w:rPr>
          <w:rFonts w:ascii="Times New Roman" w:hAnsi="Times New Roman" w:cs="Times New Roman"/>
          <w:sz w:val="28"/>
          <w:szCs w:val="28"/>
          <w:lang w:eastAsia="ru-RU"/>
        </w:rPr>
        <w:t>удовлетворено - 12, что на 33% меньше 2014 года (18</w:t>
      </w:r>
      <w:r w:rsidR="0083145F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B3207F" w:rsidRPr="00B3207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3207F" w:rsidRPr="00B3207F" w:rsidRDefault="0083145F" w:rsidP="00B3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3207F" w:rsidRPr="00B3207F">
        <w:rPr>
          <w:rFonts w:ascii="Times New Roman" w:hAnsi="Times New Roman" w:cs="Times New Roman"/>
          <w:sz w:val="28"/>
          <w:szCs w:val="28"/>
          <w:lang w:eastAsia="ru-RU"/>
        </w:rPr>
        <w:t xml:space="preserve">отказано в удовлетворении – 5, что на 66,6% больше 2014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3207F" w:rsidRPr="00B3207F">
        <w:rPr>
          <w:rFonts w:ascii="Times New Roman" w:hAnsi="Times New Roman" w:cs="Times New Roman"/>
          <w:sz w:val="28"/>
          <w:szCs w:val="28"/>
          <w:lang w:eastAsia="ru-RU"/>
        </w:rPr>
        <w:t>(3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обращения</w:t>
      </w:r>
      <w:r w:rsidR="00B3207F" w:rsidRPr="00B3207F">
        <w:rPr>
          <w:rFonts w:ascii="Times New Roman" w:hAnsi="Times New Roman" w:cs="Times New Roman"/>
          <w:sz w:val="28"/>
          <w:szCs w:val="28"/>
          <w:lang w:eastAsia="ru-RU"/>
        </w:rPr>
        <w:t>), что также показывает положительную динамику.</w:t>
      </w:r>
    </w:p>
    <w:p w:rsidR="00B3207F" w:rsidRDefault="00B3207F" w:rsidP="00B3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07F">
        <w:rPr>
          <w:rFonts w:ascii="Times New Roman" w:hAnsi="Times New Roman" w:cs="Times New Roman"/>
          <w:sz w:val="28"/>
          <w:szCs w:val="28"/>
          <w:lang w:eastAsia="ru-RU"/>
        </w:rPr>
        <w:t xml:space="preserve">Динамика показателей обжалованных в суды действий (бездействий) органов Администрации города Ханты-Мансийска в 2015 году свидетельствует </w:t>
      </w:r>
      <w:r w:rsidR="003D2F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207F">
        <w:rPr>
          <w:rFonts w:ascii="Times New Roman" w:hAnsi="Times New Roman" w:cs="Times New Roman"/>
          <w:sz w:val="28"/>
          <w:szCs w:val="28"/>
          <w:lang w:eastAsia="ru-RU"/>
        </w:rPr>
        <w:t>о том, что деятельность органов Администрации города Ханты-Мансийска была эффективней по сравнению с 2014 годом.</w:t>
      </w:r>
    </w:p>
    <w:p w:rsidR="00B3207F" w:rsidRPr="00B3207F" w:rsidRDefault="00B3207F" w:rsidP="00B320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07F" w:rsidRDefault="00B3207F" w:rsidP="00B320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  <w:sectPr w:rsidR="00B3207F" w:rsidSect="00B3207F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B3207F" w:rsidRPr="00B3207F" w:rsidRDefault="00B3207F" w:rsidP="00B320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7C7" w:rsidRPr="0041179E" w:rsidRDefault="00D747C7" w:rsidP="00D747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179E">
        <w:rPr>
          <w:rFonts w:ascii="Times New Roman" w:hAnsi="Times New Roman" w:cs="Times New Roman"/>
          <w:sz w:val="28"/>
          <w:szCs w:val="28"/>
        </w:rPr>
        <w:t>Таблица 2</w:t>
      </w:r>
    </w:p>
    <w:p w:rsidR="00D747C7" w:rsidRPr="0041179E" w:rsidRDefault="00D747C7" w:rsidP="00D74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572"/>
      <w:bookmarkEnd w:id="5"/>
      <w:r w:rsidRPr="0041179E">
        <w:rPr>
          <w:rFonts w:ascii="Times New Roman" w:hAnsi="Times New Roman" w:cs="Times New Roman"/>
          <w:sz w:val="28"/>
          <w:szCs w:val="28"/>
        </w:rPr>
        <w:t>Количество допущенных нарушений прав граждан</w:t>
      </w:r>
    </w:p>
    <w:p w:rsidR="00D747C7" w:rsidRPr="0041179E" w:rsidRDefault="00D747C7" w:rsidP="00D74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79E">
        <w:rPr>
          <w:rFonts w:ascii="Times New Roman" w:hAnsi="Times New Roman" w:cs="Times New Roman"/>
          <w:sz w:val="28"/>
          <w:szCs w:val="28"/>
        </w:rPr>
        <w:t>и юридических лиц, подтвержденных судебными актами</w:t>
      </w:r>
    </w:p>
    <w:p w:rsidR="00D747C7" w:rsidRPr="0041179E" w:rsidRDefault="00D747C7" w:rsidP="00D74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79E">
        <w:rPr>
          <w:rFonts w:ascii="Times New Roman" w:hAnsi="Times New Roman" w:cs="Times New Roman"/>
          <w:sz w:val="28"/>
          <w:szCs w:val="28"/>
        </w:rPr>
        <w:t>____город Ханты-Мансийск______________</w:t>
      </w:r>
    </w:p>
    <w:p w:rsidR="00D747C7" w:rsidRDefault="00D747C7" w:rsidP="00D74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79E">
        <w:rPr>
          <w:rFonts w:ascii="Times New Roman" w:hAnsi="Times New Roman" w:cs="Times New Roman"/>
          <w:sz w:val="28"/>
          <w:szCs w:val="28"/>
        </w:rPr>
        <w:t>наименование городского округа (муниципального района)</w:t>
      </w:r>
    </w:p>
    <w:p w:rsidR="00B3207F" w:rsidRPr="0041179E" w:rsidRDefault="00B3207F" w:rsidP="00D74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49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67"/>
        <w:gridCol w:w="599"/>
      </w:tblGrid>
      <w:tr w:rsidR="0041179E" w:rsidRPr="0041179E" w:rsidTr="00493095">
        <w:trPr>
          <w:jc w:val="center"/>
        </w:trPr>
        <w:tc>
          <w:tcPr>
            <w:tcW w:w="993" w:type="dxa"/>
            <w:vMerge w:val="restart"/>
            <w:vAlign w:val="center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3809" w:type="dxa"/>
            <w:gridSpan w:val="6"/>
            <w:vMerge w:val="restart"/>
            <w:vAlign w:val="center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обращений в суды на действия (бездействие) органа местного самоуправления</w:t>
            </w:r>
          </w:p>
        </w:tc>
        <w:tc>
          <w:tcPr>
            <w:tcW w:w="11390" w:type="dxa"/>
            <w:gridSpan w:val="18"/>
            <w:vAlign w:val="center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судами исковые требования:</w:t>
            </w:r>
          </w:p>
        </w:tc>
      </w:tr>
      <w:tr w:rsidR="0041179E" w:rsidRPr="0041179E" w:rsidTr="00493095">
        <w:trPr>
          <w:jc w:val="center"/>
        </w:trPr>
        <w:tc>
          <w:tcPr>
            <w:tcW w:w="993" w:type="dxa"/>
            <w:vMerge/>
          </w:tcPr>
          <w:p w:rsidR="0041179E" w:rsidRPr="0041179E" w:rsidRDefault="0041179E" w:rsidP="0041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  <w:gridSpan w:val="6"/>
            <w:vMerge/>
          </w:tcPr>
          <w:p w:rsidR="0041179E" w:rsidRPr="0041179E" w:rsidRDefault="0041179E" w:rsidP="0041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gridSpan w:val="6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удовлетворены частично</w:t>
            </w:r>
          </w:p>
        </w:tc>
        <w:tc>
          <w:tcPr>
            <w:tcW w:w="3798" w:type="dxa"/>
            <w:gridSpan w:val="6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удовлетворены полностью</w:t>
            </w:r>
          </w:p>
        </w:tc>
        <w:tc>
          <w:tcPr>
            <w:tcW w:w="3798" w:type="dxa"/>
            <w:gridSpan w:val="6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удовлетворении</w:t>
            </w:r>
          </w:p>
        </w:tc>
      </w:tr>
      <w:tr w:rsidR="0041179E" w:rsidRPr="0041179E" w:rsidTr="00493095">
        <w:trPr>
          <w:jc w:val="center"/>
        </w:trPr>
        <w:tc>
          <w:tcPr>
            <w:tcW w:w="993" w:type="dxa"/>
            <w:vMerge/>
          </w:tcPr>
          <w:p w:rsidR="0041179E" w:rsidRPr="0041179E" w:rsidRDefault="0041179E" w:rsidP="0041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:rsidR="0041179E" w:rsidRPr="0041179E" w:rsidRDefault="0083145F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64" w:type="dxa"/>
            <w:gridSpan w:val="2"/>
          </w:tcPr>
          <w:p w:rsidR="0041179E" w:rsidRPr="0041179E" w:rsidRDefault="0083145F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4" w:type="dxa"/>
            <w:gridSpan w:val="2"/>
          </w:tcPr>
          <w:p w:rsidR="0041179E" w:rsidRPr="0041179E" w:rsidRDefault="0083145F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64" w:type="dxa"/>
            <w:gridSpan w:val="2"/>
          </w:tcPr>
          <w:p w:rsidR="0041179E" w:rsidRPr="0041179E" w:rsidRDefault="0083145F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64" w:type="dxa"/>
            <w:gridSpan w:val="2"/>
          </w:tcPr>
          <w:p w:rsidR="0041179E" w:rsidRPr="0041179E" w:rsidRDefault="0083145F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6" w:type="dxa"/>
            <w:gridSpan w:val="2"/>
          </w:tcPr>
          <w:p w:rsidR="0041179E" w:rsidRPr="0041179E" w:rsidRDefault="0083145F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66" w:type="dxa"/>
            <w:gridSpan w:val="2"/>
          </w:tcPr>
          <w:p w:rsidR="0041179E" w:rsidRPr="0041179E" w:rsidRDefault="0083145F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66" w:type="dxa"/>
            <w:gridSpan w:val="2"/>
          </w:tcPr>
          <w:p w:rsidR="0041179E" w:rsidRPr="0041179E" w:rsidRDefault="0083145F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6" w:type="dxa"/>
            <w:gridSpan w:val="2"/>
          </w:tcPr>
          <w:p w:rsidR="0041179E" w:rsidRPr="0041179E" w:rsidRDefault="0083145F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66" w:type="dxa"/>
            <w:gridSpan w:val="2"/>
          </w:tcPr>
          <w:p w:rsidR="0041179E" w:rsidRPr="0041179E" w:rsidRDefault="0083145F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66" w:type="dxa"/>
            <w:gridSpan w:val="2"/>
          </w:tcPr>
          <w:p w:rsidR="0041179E" w:rsidRPr="0041179E" w:rsidRDefault="0083145F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6" w:type="dxa"/>
            <w:gridSpan w:val="2"/>
          </w:tcPr>
          <w:p w:rsidR="0041179E" w:rsidRPr="0041179E" w:rsidRDefault="0083145F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1179E" w:rsidRPr="0041179E" w:rsidTr="00493095">
        <w:trPr>
          <w:jc w:val="center"/>
        </w:trPr>
        <w:tc>
          <w:tcPr>
            <w:tcW w:w="993" w:type="dxa"/>
            <w:vMerge/>
          </w:tcPr>
          <w:p w:rsidR="0041179E" w:rsidRPr="0041179E" w:rsidRDefault="0041179E" w:rsidP="0041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632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632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632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632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632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632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632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632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632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633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633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633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633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633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633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633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633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633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</w:t>
            </w:r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633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</w:t>
            </w:r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  <w:proofErr w:type="spellEnd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633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633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667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</w:t>
            </w:r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99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</w:tr>
      <w:tr w:rsidR="0041179E" w:rsidRPr="0041179E" w:rsidTr="00493095">
        <w:trPr>
          <w:jc w:val="center"/>
        </w:trPr>
        <w:tc>
          <w:tcPr>
            <w:tcW w:w="993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направлениям:</w:t>
            </w:r>
          </w:p>
        </w:tc>
        <w:tc>
          <w:tcPr>
            <w:tcW w:w="649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179E" w:rsidRPr="0041179E" w:rsidTr="00493095">
        <w:trPr>
          <w:jc w:val="center"/>
        </w:trPr>
        <w:tc>
          <w:tcPr>
            <w:tcW w:w="993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малое пред-</w:t>
            </w: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принимательство</w:t>
            </w:r>
            <w:proofErr w:type="spellEnd"/>
          </w:p>
        </w:tc>
        <w:tc>
          <w:tcPr>
            <w:tcW w:w="649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179E" w:rsidRPr="0041179E" w:rsidTr="00493095">
        <w:trPr>
          <w:jc w:val="center"/>
        </w:trPr>
        <w:tc>
          <w:tcPr>
            <w:tcW w:w="993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жилищно-коммунальный комплекс</w:t>
            </w:r>
          </w:p>
        </w:tc>
        <w:tc>
          <w:tcPr>
            <w:tcW w:w="649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179E" w:rsidRPr="0041179E" w:rsidTr="00493095">
        <w:trPr>
          <w:jc w:val="center"/>
        </w:trPr>
        <w:tc>
          <w:tcPr>
            <w:tcW w:w="993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строи-</w:t>
            </w: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  <w:proofErr w:type="spellEnd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</w:t>
            </w:r>
            <w:proofErr w:type="spellEnd"/>
          </w:p>
        </w:tc>
        <w:tc>
          <w:tcPr>
            <w:tcW w:w="649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179E" w:rsidRPr="0041179E" w:rsidTr="00493095">
        <w:trPr>
          <w:jc w:val="center"/>
        </w:trPr>
        <w:tc>
          <w:tcPr>
            <w:tcW w:w="993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</w:t>
            </w: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анение</w:t>
            </w:r>
          </w:p>
        </w:tc>
        <w:tc>
          <w:tcPr>
            <w:tcW w:w="649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179E" w:rsidRPr="0041179E" w:rsidTr="00493095">
        <w:trPr>
          <w:jc w:val="center"/>
        </w:trPr>
        <w:tc>
          <w:tcPr>
            <w:tcW w:w="993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649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179E" w:rsidRPr="0041179E" w:rsidTr="00493095">
        <w:trPr>
          <w:jc w:val="center"/>
        </w:trPr>
        <w:tc>
          <w:tcPr>
            <w:tcW w:w="993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жилищныеи</w:t>
            </w:r>
            <w:proofErr w:type="spellEnd"/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земельные отношения</w:t>
            </w:r>
          </w:p>
        </w:tc>
        <w:tc>
          <w:tcPr>
            <w:tcW w:w="649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179E" w:rsidRPr="0041179E" w:rsidTr="00493095">
        <w:trPr>
          <w:jc w:val="center"/>
        </w:trPr>
        <w:tc>
          <w:tcPr>
            <w:tcW w:w="993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благоустройства территории города</w:t>
            </w:r>
          </w:p>
        </w:tc>
        <w:tc>
          <w:tcPr>
            <w:tcW w:w="649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179E" w:rsidRPr="0041179E" w:rsidTr="00493095">
        <w:trPr>
          <w:jc w:val="center"/>
        </w:trPr>
        <w:tc>
          <w:tcPr>
            <w:tcW w:w="993" w:type="dxa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649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41179E" w:rsidRPr="0041179E" w:rsidRDefault="0041179E" w:rsidP="0041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E34DB" w:rsidRPr="0041179E" w:rsidRDefault="00AE34DB" w:rsidP="00D747C7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AE34DB" w:rsidRPr="00FC133B" w:rsidRDefault="00AE34DB" w:rsidP="00D747C7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493095" w:rsidRDefault="00493095" w:rsidP="00D747C7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sectPr w:rsidR="00493095" w:rsidSect="00AA7E3E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EB4435" w:rsidRPr="00812A56" w:rsidRDefault="00EB4435" w:rsidP="00A367AC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lang w:eastAsia="ru-RU"/>
        </w:rPr>
      </w:pPr>
      <w:r w:rsidRPr="00812A56">
        <w:rPr>
          <w:rFonts w:ascii="Times New Roman" w:eastAsia="Calibri" w:hAnsi="Times New Roman" w:cs="Times New Roman"/>
          <w:color w:val="auto"/>
          <w:lang w:eastAsia="ru-RU"/>
        </w:rPr>
        <w:lastRenderedPageBreak/>
        <w:t>Раздел 2. Показатели, характеризующие социально-экономическое развитие муниципального образования автономного округа, оценку эффективности деятельности органов местного самоуправления городских округов и муниципальных районов, за отчетный год и их планируемые значения на 3-летний период</w:t>
      </w:r>
    </w:p>
    <w:p w:rsidR="00BE476E" w:rsidRPr="00FC133B" w:rsidRDefault="00BE476E" w:rsidP="00A367AC">
      <w:pPr>
        <w:spacing w:after="0" w:line="240" w:lineRule="auto"/>
        <w:ind w:firstLine="709"/>
        <w:rPr>
          <w:highlight w:val="yellow"/>
          <w:lang w:eastAsia="ru-RU"/>
        </w:rPr>
      </w:pPr>
    </w:p>
    <w:tbl>
      <w:tblPr>
        <w:tblW w:w="15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19"/>
        <w:gridCol w:w="992"/>
        <w:gridCol w:w="932"/>
        <w:gridCol w:w="1194"/>
        <w:gridCol w:w="1134"/>
        <w:gridCol w:w="1134"/>
        <w:gridCol w:w="1134"/>
        <w:gridCol w:w="1134"/>
        <w:gridCol w:w="1134"/>
        <w:gridCol w:w="2976"/>
      </w:tblGrid>
      <w:tr w:rsidR="00D9410A" w:rsidRPr="00D9410A" w:rsidTr="006B4369">
        <w:trPr>
          <w:trHeight w:val="31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0A" w:rsidRPr="00D9410A" w:rsidRDefault="00D9410A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10A" w:rsidRPr="00D9410A" w:rsidRDefault="00D9410A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10A" w:rsidRPr="00D9410A" w:rsidRDefault="00D9410A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Единицы измерения 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0A" w:rsidRPr="00D9410A" w:rsidRDefault="00D9410A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в докладе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10A" w:rsidRPr="00D9410A" w:rsidRDefault="00D9410A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10A" w:rsidRPr="00D9410A" w:rsidRDefault="00D9410A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Прогноз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0A" w:rsidRPr="00D9410A" w:rsidRDefault="00D9410A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D9410A" w:rsidRPr="00D9410A" w:rsidTr="006B4369">
        <w:trPr>
          <w:trHeight w:val="31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A" w:rsidRPr="00D9410A" w:rsidRDefault="00D9410A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10A" w:rsidRPr="00D9410A" w:rsidRDefault="00D9410A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10A" w:rsidRPr="00D9410A" w:rsidRDefault="00D9410A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A" w:rsidRPr="00D9410A" w:rsidRDefault="00D9410A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0A" w:rsidRPr="00D9410A" w:rsidRDefault="00D9410A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0A" w:rsidRPr="00D9410A" w:rsidRDefault="00D9410A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0A" w:rsidRPr="00D9410A" w:rsidRDefault="00D9410A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0A" w:rsidRPr="00D9410A" w:rsidRDefault="00D9410A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0A" w:rsidRPr="00D9410A" w:rsidRDefault="00D9410A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10A" w:rsidRPr="00D9410A" w:rsidRDefault="00D9410A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A" w:rsidRPr="00D9410A" w:rsidRDefault="00D9410A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410A" w:rsidRPr="00D9410A" w:rsidTr="006B4369">
        <w:trPr>
          <w:trHeight w:val="31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0A" w:rsidRPr="00D9410A" w:rsidRDefault="00D9410A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10A" w:rsidRPr="004F2B70" w:rsidRDefault="00D9410A" w:rsidP="004F2B70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2B7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Экономическое развитие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субъектов малого и среднего предпринимательства в расчете на 10 тыс.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1768C" w:rsidP="00117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1768C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1768C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1768C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106947" w:rsidRDefault="00106947" w:rsidP="00106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6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Данный показатель зависти от роста численности населения, которая за последнее время имеет тенденцию роста в среднем от 2,7 до 5%. В свою очередь увеличение численности населения имеет тенденцию роста и на перспективу до 2017 года. Кроме того, реализация мероприятий по поддержке СМП способствует увеличению количества СМП.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2015 год численность индивидуальных предпринимателей увеличилась на 3,7%. 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субъектов малого и среднего предпринимательства (на конец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1768C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117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1176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117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</w:t>
            </w:r>
            <w:r w:rsidR="001176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117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  <w:r w:rsidR="001176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884</w:t>
            </w: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106947" w:rsidRDefault="00106947" w:rsidP="00106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6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показателей рассчитано на основании данных из программного комплекса «Запросная система Единого государственного Реестра ИП и ЮЛ 2008»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101 112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017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17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017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17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017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  <w:r w:rsidR="00017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017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017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  <w:r w:rsidR="00017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017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Среднесписочная численность работников (без внешних совместителей) малых и средних предприятий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8F718D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8F718D" w:rsidP="008F7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8F718D" w:rsidP="008F7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11 301</w:t>
            </w:r>
            <w:r w:rsidR="00106947"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8F7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F7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F7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Среднесписочная численность работников (без внешних совместителей) всех предприятий и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57 968,0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60 191,0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инвестиций в основной капитал (за исключением бюджетных средств) в расчете на 1 жителя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EF64D2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131 502,0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5D169B" w:rsidRDefault="00106947" w:rsidP="005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D169B" w:rsidRPr="005D1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Снижение объема инвестиций обусловлено </w:t>
            </w:r>
            <w:r w:rsidR="005D169B" w:rsidRPr="005D169B">
              <w:rPr>
                <w:rFonts w:ascii="Times New Roman" w:eastAsia="Calibri" w:hAnsi="Times New Roman" w:cs="Times New Roman"/>
                <w:sz w:val="16"/>
                <w:szCs w:val="16"/>
              </w:rPr>
              <w:t>вывод</w:t>
            </w:r>
            <w:r w:rsidR="005D169B">
              <w:rPr>
                <w:rFonts w:ascii="Times New Roman" w:eastAsia="Calibri" w:hAnsi="Times New Roman" w:cs="Times New Roman"/>
                <w:sz w:val="16"/>
                <w:szCs w:val="16"/>
              </w:rPr>
              <w:t>ом</w:t>
            </w:r>
            <w:r w:rsidR="005D169B" w:rsidRPr="005D16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инвестиций по предприятиям, осуществляющим деятельность в сфере «Добыча полезных ископаемых» по месту фактического использования нефинансовых активов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93,52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земельных участков, являющихся объектами налогообложения земельным налогом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Гектар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3 203,6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территории городского округа (муниципального района), подлежащая налогообложению в соответствии с действующим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Гектар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3 425,6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прибыльных единиц сельскохозяйственных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число сельскохозяйственных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Километр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4F7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4F7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bookmarkStart w:id="6" w:name="_GoBack"/>
            <w:bookmarkEnd w:id="6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Километр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4F7A7E" w:rsidP="004F7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4F7A7E" w:rsidP="004F7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4F7A7E" w:rsidP="004F7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4F7A7E" w:rsidP="004F7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4F7A7E" w:rsidP="004F7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4F7A7E" w:rsidP="004F7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Среднегодовая численность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Неизвестные данные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Среднемесячная номинальная начисленная заработная плата работников: крупных и средних предприятий и некоммерческих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62 773,1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68 765,1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69 796,6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70 704,0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34 222,9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56 707,1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65 531,5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60 437,4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60 411,1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61 207,6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62 682,1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начисленной заработной платы учителей образовательных учреждений для детей дошкольного и младшего школьного возраста, начисленная из бюджетных источников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Тысяча 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8.4.1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начисленной заработной платы учителей образовательных учреждений для детей дошкольного и младшего школьного возраста, начисленная из внебюджетных источников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Тысяча 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8.4.2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начисленной заработной платы учителей общеобразовательных учреждений, начисленная из бюджетных источников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Тысяча 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8.4.3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429 347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начисленной заработной платы учителей общеобразовательных учреждений, начисленная из внебюджетных источников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Тысяча 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8.4.4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Cреднегодовая</w:t>
            </w:r>
            <w:proofErr w:type="spellEnd"/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численность учителей образовательных учреждений для детей дошкольного и младшего школьного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8.4.5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Среднегодовая численность учителей общеобразовательных учреждений (городская и сельская местность)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8.4.6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77 694,0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45019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36 854,9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47" w:rsidRPr="004F2B70" w:rsidRDefault="00106947" w:rsidP="004F2B70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F2B7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детей в возрасте 1 - 6 лет, получающих дошкольную образовательную услугу и (или) услугу по </w:t>
            </w: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их содержанию в муниципальных образовательных учреждениях в общей численности детей в возрасте 1 - 6 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78,8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детей в возрасте 1 - 6 лет, получающих дошкольную образовательную услугу и (или) услугу по их содержанию в муниципальных 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530AA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численность детей в возрасте 1-6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1 - 6 лет, стоящих на учете для определения в муниципальные дошкольные образовательные учреждения, в общей численности детей в возрасте 1 - 6 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8E71BE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06947"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детей в возрасте 1-6 лет, состоящих на учете для определения в муниципальные дошкольные образовательные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4E6D11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муниципальных дошкольных 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4E6D11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муниципальных дошкольных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4E6D11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47" w:rsidRPr="004F2B70" w:rsidRDefault="00106947" w:rsidP="004F2B70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F2B7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Общее и дополнительное образование</w:t>
            </w:r>
          </w:p>
          <w:p w:rsidR="00106947" w:rsidRPr="00D9410A" w:rsidRDefault="00106947" w:rsidP="004F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выпускников, не сдавших ЕГЭ по русскому языку и математике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численность выпускников муниципальных общеобразовательных учреждений сдававших единый государственный экзамен по данному предмету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выпускников муниципальных общеобразовательных учреждений, не получивших аттестат о среднем (полном) образовании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обучающихся выпускного класса общеобразовательных учреждений, не получивших аттестат о среднем (полном) образовании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Численность обучающихся выпускного класса </w:t>
            </w:r>
            <w:proofErr w:type="spellStart"/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интернатных</w:t>
            </w:r>
            <w:proofErr w:type="spellEnd"/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общеобразовательных учреждений, не получивших аттестат о среднем (полном) образовании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обучающихся, окончившие 11 класс (окончили с аттестатом о среднем (полном) общем образовании), общеобразовательные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13.2.1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обучающихся, окончившие 12 класс, общеобразовательные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13.2.2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обучающихся, выдержавших экзамены экстерном за курс средней школы и получивших аттестат о среднем (полном) общем образовании, в общеобразовательных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13.2.3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Численность обучающихся, окончившие 11 класс (окончили с аттестатом о среднем (полном) общем образовании), </w:t>
            </w:r>
            <w:proofErr w:type="spellStart"/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интернатные</w:t>
            </w:r>
            <w:proofErr w:type="spellEnd"/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общеобразовательные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13.2.4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Численность обучающихся, окончившие 12 класс, </w:t>
            </w:r>
            <w:proofErr w:type="spellStart"/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интернатные</w:t>
            </w:r>
            <w:proofErr w:type="spellEnd"/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общеобразовательные школы-интернаты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13.2.5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Численность обучающихся, выдержавших экзамены экстерном за курс средней школы и получивших аттестат о среднем (полном) общем образовании, в </w:t>
            </w:r>
            <w:proofErr w:type="spellStart"/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интернатных</w:t>
            </w:r>
            <w:proofErr w:type="spellEnd"/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13.2.6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муниципальных общеобразовательных учреждений, соответствующих современным </w:t>
            </w: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государственных (муниципальных) образовательных учреждений, реализующих программы общего образования расположенных в городских поселениях, находящихся в аварийном состоянии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государственных (муниципальных) образовательных учреждений, реализующих программы общего образования расположенных в сельской местности, находящихся в аварийном состоянии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государственных (муниципальных) образовательных учреждений, реализующих программы общего образования расположенных в городских поселениях, здания которых требуют капитального ремонта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государственных (муниципальных) образовательных учреждений, реализующих программы общего образования расположенных в сельской местности, здания которых требуют капитального ремонта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государственных (муниципальных) образовательных учреждений, реализующих программы общего образования расположенных в городских поселениях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государственных (муниципальных) образовательных учреждений, реализующих программы общего образования расположенных в сельской местности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88,0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численности обучающихся в </w:t>
            </w: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муниципальных общеобразовательных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42,2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обучающихся, занимающихся во вторую смену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обучающихся, занимающихся в третью смену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обучающихся (всего)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бюджета муниципального образования на общее образование в расчете на 1 обучающегося в муниципальных общеобразовательных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Тысяча 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125,3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бюджета муниципального образования на 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Тысяча 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1039 716,5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1223 644,0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1292 131,0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1469 678,0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1543 161,9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1620 320,0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Среднегодовая численность обучающихся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5 - 18 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93,2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детей в возрасте 5-18 лет в городском округе (муниципальном районе)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47" w:rsidRPr="004F2B70" w:rsidRDefault="00106947" w:rsidP="004F2B70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F2B7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Неизвестные данные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фактической обеспеченности учреждениями культуры от нормативной потребности: клубами и учреждениями клубного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68,7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Фактическое число посадочных мест в учреждениях культурно-досугового типа системы Минкультуры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залы МБУ "КДЦ "Октябрь" и КТЦ "Югра-Классик"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Фактическое число посадочных мест в учреждениях культурно-досугового типа иных ведомств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зрительских мест в учреждениях культурно-досугового типа в соответствии с утвержденным нормативом, мест 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20.1.3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фактической обеспеченности учреждениями культуры от нормативной потребности: библиотеками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93,2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число библиотек и библиотек-филиалов на конец отчетного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20.2.1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Число отделов </w:t>
            </w:r>
            <w:proofErr w:type="spellStart"/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внестанционарного</w:t>
            </w:r>
            <w:proofErr w:type="spellEnd"/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обслуживания (библиотечных пунктов)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20.2.2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учреждений культурно-досугового типа, занимающихся библиотечной деятельностью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20.2.3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Требуемое количество общедоступных библиотек в соответствии с утвержденным нормативом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20.2.4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фактической обеспеченности учреждениями культуры от нормативной потребности: парками культуры и отдыха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Обеспеченность населения парками культуры и отдыха (на конец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20.3.1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Нормативный показатель обеспеченности парками культуры и отдыха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20.3.2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зданий, которые находятся в аварийном состоянии или требуют капитального ремонта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321AED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число зданий государственных и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321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21A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 культурного наследия, находящихся в муниципальной собственности и требующих консервации или реставрации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 культурного наследия, находящихся в муниципальной собственности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47" w:rsidRPr="004F2B70" w:rsidRDefault="00106947" w:rsidP="004F2B70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F2B7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43,8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обучающихся, систематически занимающихся физической культурой и </w:t>
            </w: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спортом, в общей численности обучающихся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98,2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обучающихся, занимающихся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населения в возрасте 0-17 лет на 1 января отчетного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населения в возрасте 3-79 лет на 1 января отчетного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E630B8" w:rsidRDefault="00106947" w:rsidP="00E630B8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630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Жилищное строительство и обеспечение граждан жильем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Квадратный метр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жилых помещений, приходящаяся в среднем на одного жителя, в том числе введенная в действие за один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Квадратный метр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земельных участков, предоставленных для строительства в расчете на 10 тыс. человек населения, 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Гектар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земельных участков, предоставленных для жилищного строительства, индивидуального жилищного строительства в расчете на 10 тыс. 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Гектар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земельных участков, предоставленных для жилищного строительства, индивидуального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Гектар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34,0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земельных участков, предоставленных для комплексного освоения в целях жилищного строительства в расчете на 10 тыс. 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Гектар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земельных участков, предоставленных для комплексного освоения в целях жилищного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Гектар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25.2.1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Гектар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165,0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</w:t>
            </w: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аукционов) не было получено разрешение на ввод в эксплуатацию: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Неизвестные данные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 - в течение 3 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Квадратный метр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иных объектов капитального строительства - в течение 5 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Квадратный метр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47" w:rsidRPr="004F7E2F" w:rsidRDefault="00106947" w:rsidP="004F7E2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F7E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непосредственное управление собственниками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непосредственное управление собственниками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930,0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640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6403E6" w:rsidRPr="0064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ЖК РФ собственники помещений выбирают УО и способ управления.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домами: управление товариществом собственников жилья либо жилищным кооперативом или иным </w:t>
            </w: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специализированным потребительским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муниципальным или государственным учреждением либо предприятием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муниципальным или государственным учреждением либо предприятием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149,0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640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6403E6" w:rsidRPr="0064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ЖК РФ собственники помещений выбирают УО и способ управления.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управляющей организацией частной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управляющей организацией частной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144,0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хозяйственным обществом с долей участия в уставном капитале субъекта Российской Федерации и (или) городского округа (муниципального района) не более 25 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хозяйственным обществом с долей участия в уставном капитале субъекта Российской Федерации и (или) </w:t>
            </w: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городского округа (муниципального района) не более 25 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число многоквартирных домов в городском округе (муниципальном районе), собственники помещений в которых должны выбирать способ управления данными домами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многоквартирных домов, в которых собственники помещений выбрали и реализуют способ управления многоквартирными домами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66,7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организаций коммунального комплекса, осуществляющих оказание коммунальных услуг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число организаций коммунального комплекса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количество многоквартирных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53,7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106947" w:rsidRDefault="00106947" w:rsidP="00106947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069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Организация муниципального управления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налоговых и неналоговых доходов местного бюджета (за 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 учета субвенций)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61,5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AA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Снижение доли в 2015 году обусловлено передачей на уровень субъекта полномочий по реализации дошкольными образовательными организациями основных общеобразовательных программ дошкольного образования и поступлением средств на реализацию этих полномочий в бюджет города в виде субвенции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Величина налоговых и неналоговых доходов местного бюджета (за исключением поступлений налоговых доходов по дополнительным нормативам отчислений)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Тысяча 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2909 076,5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2678 752,1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2383 058,1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2356 695,8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2414 842,0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2474 151,1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объем собственных доходов бюджета муниципального образования (без учета субвенций)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Тысяча 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5608 982,9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4668 534,4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4855 005,8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3868 982,7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3946 362,3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4025 289,6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Полная учетная стоимость основных фондов организаций муниципальной формы собственности, находящихся в стадии банкротства на конец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Тысяча 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Полная учетная стоимость основных фондов организаций муниципальной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Тысяча 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33588 001,0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20447 950,0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17269 817,0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20095 125,0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22104 637,5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23209 869,4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Тысяча 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1887 145,3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1736 173,7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1597 279,8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1451 279,8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1369 251,6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1358 100,0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Величина просроченной кредиторской задолженности по оплате труда (включая </w:t>
            </w: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начисления на оплату труда) муниципальных учреждений (на конец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Тысяча 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объем расходов муниципального образования на оплату труда (включая начисления на оплату труда)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Тысяча 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3052 236,8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3256 312,1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3428 509,6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3647 843,2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3720 800,1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3795 216,1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5 150,3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объем расходов бюджета муниципального образования на содержание работников органов местного самоуправления,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Тысяча 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440 076,0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439 754,5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497 558,7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510 992,8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520 692,6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Удовлетворенность населения деятельностью местного самоуправления городского округа (муниципального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 от числа опрошенных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2684E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2684E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Тысяча 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101,1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106947" w:rsidRDefault="00106947" w:rsidP="00106947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069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Неизвестные данные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947" w:rsidRPr="00D9410A" w:rsidRDefault="00106947" w:rsidP="00C1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килловат</w:t>
            </w:r>
            <w:proofErr w:type="spellEnd"/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час на 1 проживающего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946,76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870,71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833,06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812,26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826,95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Суммарное потребление электроэнергии всеми МКД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киловатт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39.1.1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81003 250,0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81314 124,0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81639 380,4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79436 833,2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77453 837,4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78854 906,4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проживающих в многоквартирных домах (с электроэнергией)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39.1.2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89 553,0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95 356,0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Гкал. на 1кв. метр общей площади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Суммарный объём потребленной тепловой энергии всеми МКД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Гигакалория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39.2.1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251 605,9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264 941,0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264 941,0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264 941,0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многоквартирных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Квадратный метр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39.2.2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1483 000,5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1494 864,5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1575 587,2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1575 587,2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1575 587,2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кубических метров на 1 проживающего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12,40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Суммарный объём потребленной горячей воды всеми МКД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Кубический метр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39.3.1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484 732,0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452 684,0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проживающих в многоквартирных домах (с горячей водой)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39.3.2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36 514,0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кубических метров на 1 проживающего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26,60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Суммарный объём потребленной холодной воды всеми МКД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Кубический метр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39.4.1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2422 633,0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2494 946,6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2586 510,0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2548 312,0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2546 851,0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2547 000,0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проживающих в многоквартирных домах (с холодной водой)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39.4.2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89 553,0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95 738,0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95 738,0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95 738,0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кубических метров на 1 проживающего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27,99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Суммарный объём потребленного природного газа всеми МКД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Кубический метр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39.5.1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1104 253,0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1192 873,5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1287 698,0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1286 741,0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1248 139,0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1241 898,0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проживающих в многоквартирных домах (с газом)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39.5.2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44 369,0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Неизвестные данные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килловат</w:t>
            </w:r>
            <w:proofErr w:type="spellEnd"/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час на 1 проживающего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Суммарное потребление электроэнергии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киловатт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40.1.1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9785 578,0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9999 395,7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10089 984,8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9968 905,0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9975 828,0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10119 012,9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Гкал. на 1кв. метр общей площади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Суммарное потребление тепловой энергии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Гигакалория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40.2.1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33 329,8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муниципальных бюджетных учреждений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Квадратный метр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40.2.2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173 518,1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207 043,1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208 019,2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кубических метров на 1 проживающего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Суммарный объём потребленной горячей воды муниципальными бюджетными учреждениями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Кубический метр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40.3.1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3 079,9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кубических метров на 1 проживающего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Суммарный объём потребленной холодной воды муниципальными бюджетными учреждениями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Кубический метр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40.4.1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104 670,7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93 471,0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95 246,9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кубических метров на 1 проживающего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947" w:rsidRPr="00D9410A" w:rsidTr="006B4369">
        <w:trPr>
          <w:trHeight w:val="3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Суммарный объём потребленного природного газа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Кубический метр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40.5.1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47" w:rsidRPr="00D9410A" w:rsidRDefault="00106947" w:rsidP="00D9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947" w:rsidRPr="00D9410A" w:rsidRDefault="00106947" w:rsidP="00D9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6DF6" w:rsidRPr="00D9410A" w:rsidRDefault="008D6DF6" w:rsidP="00A367AC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highlight w:val="yellow"/>
          <w:lang w:eastAsia="ru-RU"/>
        </w:rPr>
      </w:pPr>
    </w:p>
    <w:p w:rsidR="008D6DF6" w:rsidRPr="00FC133B" w:rsidRDefault="008D6DF6" w:rsidP="00A367AC">
      <w:pPr>
        <w:spacing w:after="0" w:line="240" w:lineRule="auto"/>
        <w:ind w:firstLine="709"/>
        <w:rPr>
          <w:highlight w:val="yellow"/>
          <w:lang w:eastAsia="ru-RU"/>
        </w:rPr>
      </w:pPr>
    </w:p>
    <w:p w:rsidR="008D6DF6" w:rsidRPr="00FC133B" w:rsidRDefault="008D6DF6" w:rsidP="00A367AC">
      <w:pPr>
        <w:spacing w:after="0" w:line="240" w:lineRule="auto"/>
        <w:ind w:firstLine="709"/>
        <w:rPr>
          <w:highlight w:val="yellow"/>
          <w:lang w:eastAsia="ru-RU"/>
        </w:rPr>
      </w:pPr>
    </w:p>
    <w:p w:rsidR="008D6DF6" w:rsidRPr="00FC133B" w:rsidRDefault="008D6DF6" w:rsidP="00A367AC">
      <w:pPr>
        <w:spacing w:after="0" w:line="240" w:lineRule="auto"/>
        <w:ind w:firstLine="709"/>
        <w:rPr>
          <w:highlight w:val="yellow"/>
          <w:lang w:eastAsia="ru-RU"/>
        </w:rPr>
      </w:pPr>
    </w:p>
    <w:p w:rsidR="008D6DF6" w:rsidRPr="00FC133B" w:rsidRDefault="008D6DF6" w:rsidP="00A367AC">
      <w:pPr>
        <w:spacing w:after="0" w:line="240" w:lineRule="auto"/>
        <w:ind w:firstLine="709"/>
        <w:rPr>
          <w:highlight w:val="yellow"/>
          <w:lang w:eastAsia="ru-RU"/>
        </w:rPr>
      </w:pPr>
    </w:p>
    <w:p w:rsidR="008D6DF6" w:rsidRPr="00FC133B" w:rsidRDefault="008D6DF6" w:rsidP="00A367AC">
      <w:pPr>
        <w:spacing w:after="0" w:line="240" w:lineRule="auto"/>
        <w:ind w:firstLine="709"/>
        <w:rPr>
          <w:highlight w:val="yellow"/>
          <w:lang w:eastAsia="ru-RU"/>
        </w:rPr>
      </w:pPr>
    </w:p>
    <w:p w:rsidR="00BE476E" w:rsidRPr="00FC133B" w:rsidRDefault="00BE476E" w:rsidP="00A367AC">
      <w:pPr>
        <w:pStyle w:val="1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highlight w:val="yellow"/>
          <w:lang w:eastAsia="ru-RU"/>
        </w:rPr>
        <w:sectPr w:rsidR="00BE476E" w:rsidRPr="00FC133B" w:rsidSect="00AA7E3E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EB4435" w:rsidRPr="00EF1B9B" w:rsidRDefault="00EB4435" w:rsidP="00A367AC">
      <w:pPr>
        <w:pStyle w:val="1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EF1B9B">
        <w:rPr>
          <w:rFonts w:ascii="Times New Roman" w:eastAsia="Calibri" w:hAnsi="Times New Roman" w:cs="Times New Roman"/>
          <w:color w:val="auto"/>
          <w:lang w:eastAsia="ru-RU"/>
        </w:rPr>
        <w:lastRenderedPageBreak/>
        <w:t>Раздел 3. Информация о приведении муниципальных правовых актов в соответствие с федеральным законодательством и законодательством автономного округа, внедрении информационных технологий и повышении информационной открытости, повышении качества предоставляемых муниципальных услуг</w:t>
      </w:r>
    </w:p>
    <w:p w:rsidR="00EB4435" w:rsidRPr="00FC133B" w:rsidRDefault="00EB4435" w:rsidP="00A367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B4435" w:rsidRDefault="00EB4435" w:rsidP="00A3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Приведение муниципальных правовых актов в соответствие </w:t>
      </w:r>
      <w:r w:rsidR="0087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F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федеральным законодательством и законодательством автономного округа</w:t>
      </w:r>
    </w:p>
    <w:p w:rsidR="007A684C" w:rsidRPr="00EF1B9B" w:rsidRDefault="007A684C" w:rsidP="00A3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3AD" w:rsidRPr="00350F0F" w:rsidRDefault="004F23AD" w:rsidP="004F23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F0F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по приведению действующих муниципальных нормативных правовых актов в соответствие с федеральным законодательством и законодательством Ханты-Мансийского автономного округа</w:t>
      </w:r>
      <w:r w:rsidR="00532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350F0F">
        <w:rPr>
          <w:rFonts w:ascii="Times New Roman" w:eastAsia="Calibri" w:hAnsi="Times New Roman" w:cs="Times New Roman"/>
          <w:sz w:val="28"/>
          <w:szCs w:val="28"/>
          <w:lang w:eastAsia="ru-RU"/>
        </w:rPr>
        <w:t>Югры осуществляется в постоянном режиме</w:t>
      </w:r>
      <w:r w:rsidRPr="00350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3AD" w:rsidRPr="00350F0F" w:rsidRDefault="004F23AD" w:rsidP="004F23A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F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Администрацией города Ханты-Мансийска в течение года принято </w:t>
      </w:r>
      <w:r w:rsidR="003D2F8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350F0F" w:rsidRPr="00350F0F">
        <w:rPr>
          <w:rFonts w:ascii="Times New Roman" w:eastAsia="Calibri" w:hAnsi="Times New Roman" w:cs="Times New Roman"/>
          <w:sz w:val="28"/>
          <w:szCs w:val="28"/>
          <w:lang w:eastAsia="ru-RU"/>
        </w:rPr>
        <w:t>3007</w:t>
      </w:r>
      <w:r w:rsidRPr="00350F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муниципальных правовых акт</w:t>
      </w:r>
      <w:r w:rsidR="00532267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350F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</w:t>
      </w:r>
      <w:r w:rsidR="003D2F8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50F0F">
        <w:rPr>
          <w:rFonts w:ascii="Times New Roman" w:eastAsia="Calibri" w:hAnsi="Times New Roman" w:cs="Times New Roman"/>
          <w:sz w:val="28"/>
          <w:szCs w:val="28"/>
          <w:lang w:eastAsia="ru-RU"/>
        </w:rPr>
        <w:t>и законами Ханты-Мансийского автономного округа – Югры, по вопросам организации деятельности Администрации города.</w:t>
      </w:r>
    </w:p>
    <w:p w:rsidR="004F23AD" w:rsidRPr="007A684C" w:rsidRDefault="004F23AD" w:rsidP="004F23A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F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приведения действующих муниципальных правовых актов </w:t>
      </w:r>
      <w:r w:rsidR="0053226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50F0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требованиями федерального и регионального законодательства, в соответствии с</w:t>
      </w:r>
      <w:r w:rsidRPr="00350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Ханты-Мансийска </w:t>
      </w:r>
      <w:r w:rsidR="00532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17.11.2011 № 1308 «О мониторинге </w:t>
      </w:r>
      <w:proofErr w:type="spellStart"/>
      <w:r w:rsidRPr="00350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35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</w:t>
      </w:r>
      <w:r w:rsidR="003D2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F0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Ханты-Мансийске»</w:t>
      </w:r>
      <w:r w:rsidR="00350F0F" w:rsidRPr="0035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F0F" w:rsidRPr="00350F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проводится мониторинг муниципальных </w:t>
      </w:r>
      <w:r w:rsidR="00350F0F" w:rsidRPr="007A684C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нормативных правовых актов, изданных Администрацией города Ханты-Мансийска</w:t>
      </w:r>
      <w:r w:rsidRPr="007A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2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проводимой работы по данному направлению </w:t>
      </w:r>
      <w:r w:rsidRPr="007A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проведена экспертиза </w:t>
      </w:r>
      <w:r w:rsidR="0053226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1D5512" w:rsidRPr="007A684C">
        <w:rPr>
          <w:rFonts w:ascii="Times New Roman" w:eastAsia="Calibri" w:hAnsi="Times New Roman" w:cs="Times New Roman"/>
          <w:sz w:val="28"/>
          <w:szCs w:val="28"/>
          <w:lang w:eastAsia="ru-RU"/>
        </w:rPr>
        <w:t>498</w:t>
      </w:r>
      <w:r w:rsidRPr="007A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действующих нормативных правовых актов, по результатам которой </w:t>
      </w:r>
      <w:r w:rsidR="0053226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7A684C" w:rsidRPr="007A684C">
        <w:rPr>
          <w:rFonts w:ascii="Times New Roman" w:eastAsia="Calibri" w:hAnsi="Times New Roman" w:cs="Times New Roman"/>
          <w:sz w:val="28"/>
          <w:szCs w:val="28"/>
          <w:lang w:eastAsia="ru-RU"/>
        </w:rPr>
        <w:t>221</w:t>
      </w:r>
      <w:r w:rsidRPr="007A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 приведено в соответствие </w:t>
      </w:r>
      <w:r w:rsidR="003D2F8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A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требованиями действующего законодательства, в том числе </w:t>
      </w:r>
      <w:r w:rsidR="007A684C" w:rsidRPr="007A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93 </w:t>
      </w:r>
      <w:r w:rsidRPr="007A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них </w:t>
      </w:r>
      <w:r w:rsidR="0053226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A684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планом мониторинга на 201</w:t>
      </w:r>
      <w:r w:rsidR="007A684C" w:rsidRPr="007A68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A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D95B29" w:rsidRPr="00FC133B" w:rsidRDefault="00D95B29" w:rsidP="00A3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95B29" w:rsidRDefault="00D95B29" w:rsidP="00A3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округа.</w:t>
      </w:r>
    </w:p>
    <w:p w:rsidR="00ED543A" w:rsidRPr="00ED543A" w:rsidRDefault="00ED543A" w:rsidP="00ED543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4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реализации положений Федерального закона от 09.02.2009 </w:t>
      </w:r>
      <w:r w:rsidRPr="00ED543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№8-ФЗ «Об обеспечении доступа к информации о деятельности государственных органов и органов местного самоуправления» продолжена работа по развитию интерактивных сервисов Официального портала.</w:t>
      </w:r>
    </w:p>
    <w:p w:rsidR="00ED543A" w:rsidRPr="00ED543A" w:rsidRDefault="00ED543A" w:rsidP="00ED543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4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2015 году по сравнению в 2014 годом почти в 3 раза увеличилось количество обращений граждан в органы Администрации города </w:t>
      </w:r>
      <w:r w:rsidR="003D2F8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D543A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 посредством интерактивного сервиса «Улучшим наш город». Решены 122 заявки из 155, остальные находятся в работе.</w:t>
      </w:r>
    </w:p>
    <w:p w:rsidR="00ED543A" w:rsidRPr="00ED543A" w:rsidRDefault="00ED543A" w:rsidP="00ED543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4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2015 году на 62,4% по сравнению в 2014 годом увеличилось число горожан, подписанных на бесплатную СМС-рассылку о проводимых </w:t>
      </w:r>
      <w:r w:rsidRPr="00ED54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мероприятиях, публичных слушаниях, актированных днях.</w:t>
      </w:r>
    </w:p>
    <w:p w:rsidR="00ED543A" w:rsidRPr="00ED543A" w:rsidRDefault="00ED543A" w:rsidP="00ED54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43A">
        <w:rPr>
          <w:rFonts w:ascii="Times New Roman" w:eastAsia="Calibri" w:hAnsi="Times New Roman" w:cs="Times New Roman"/>
          <w:sz w:val="28"/>
          <w:szCs w:val="28"/>
        </w:rPr>
        <w:t xml:space="preserve">На 60% увеличилось количество </w:t>
      </w:r>
      <w:r w:rsidRPr="00ED54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запросов на проверку очереди                       </w:t>
      </w:r>
      <w:r w:rsidR="0087375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D54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детский сад </w:t>
      </w:r>
      <w:r w:rsidRPr="003D2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(рис. </w:t>
      </w:r>
      <w:r w:rsidR="003D2F8B" w:rsidRPr="003D2F8B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3D2F8B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ED543A" w:rsidRPr="00ED543A" w:rsidRDefault="00ED543A" w:rsidP="00ED543A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4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Рис. </w:t>
      </w:r>
      <w:r w:rsidR="003D2F8B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</w:p>
    <w:p w:rsidR="00ED543A" w:rsidRPr="00ED543A" w:rsidRDefault="00ED543A" w:rsidP="00ED543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677586" cy="3269894"/>
            <wp:effectExtent l="0" t="0" r="0" b="6985"/>
            <wp:docPr id="20" name="Диаграм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D2F8B" w:rsidRDefault="003D2F8B" w:rsidP="00D355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543A" w:rsidRPr="00ED543A" w:rsidRDefault="00ED543A" w:rsidP="00D355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4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2015 год на Официальном портале зарегистрировано 2457 пользователей. А всего на Официальном портале зафиксировано 927314 уникальных посетителей, которые посетили 5926061 страницу. </w:t>
      </w:r>
    </w:p>
    <w:p w:rsidR="00ED543A" w:rsidRPr="00ED543A" w:rsidRDefault="00ED543A" w:rsidP="00D355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4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Показателем хорошей работы по развитию и продвижению Официального портала стало присуждение в 2015 году Официальному порталу звания лучшего официального сайта по итогам окружного конкурса на лучший официальный сайт органа местного самоуправления муниципального образования </w:t>
      </w:r>
      <w:r w:rsidR="003D2F8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D54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Ханты-Мансийского автономного округа - Югры (2014 год - 2 место, </w:t>
      </w:r>
      <w:r w:rsidR="003D2F8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D543A">
        <w:rPr>
          <w:rFonts w:ascii="Times New Roman" w:eastAsia="Calibri" w:hAnsi="Times New Roman" w:cs="Times New Roman"/>
          <w:sz w:val="28"/>
          <w:szCs w:val="28"/>
          <w:lang w:eastAsia="ru-RU"/>
        </w:rPr>
        <w:t>2013 год - 1 место).</w:t>
      </w:r>
    </w:p>
    <w:p w:rsidR="00ED543A" w:rsidRPr="00ED543A" w:rsidRDefault="00ED543A" w:rsidP="00D355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43A">
        <w:rPr>
          <w:rFonts w:ascii="Times New Roman" w:eastAsia="Calibri" w:hAnsi="Times New Roman" w:cs="Times New Roman"/>
          <w:sz w:val="28"/>
          <w:szCs w:val="28"/>
          <w:lang w:eastAsia="ru-RU"/>
        </w:rPr>
        <w:t>Победе в конкурсе способствовало в том числе, создание отдельного ресурса по публикации открытых данных - «Портала открытых данных города Ханты-Мансийска»</w:t>
      </w:r>
      <w:r w:rsidRPr="00ED543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ED54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D543A" w:rsidRPr="00ED543A" w:rsidRDefault="00ED543A" w:rsidP="00D355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4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 - единственное муниципальное образование автономного округа, которое имеет подобный ресурс. </w:t>
      </w:r>
    </w:p>
    <w:p w:rsidR="00ED543A" w:rsidRPr="00ED543A" w:rsidRDefault="00ED543A" w:rsidP="00D355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43A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настоящее время на Портале размещено 30 наборов открытых данных, на основании которых разработаны мобильные приложения.</w:t>
      </w:r>
    </w:p>
    <w:p w:rsidR="00ED543A" w:rsidRPr="00ED543A" w:rsidRDefault="00ED543A" w:rsidP="00D355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43A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повышения качества муниципального управления в текущем году продолжена работа по совершенствованию системы электронного документооборота.</w:t>
      </w:r>
    </w:p>
    <w:p w:rsidR="00ED543A" w:rsidRDefault="00ED543A" w:rsidP="00D355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43A">
        <w:rPr>
          <w:rFonts w:ascii="Times New Roman" w:eastAsia="Calibri" w:hAnsi="Times New Roman" w:cs="Times New Roman"/>
          <w:sz w:val="28"/>
          <w:szCs w:val="28"/>
        </w:rPr>
        <w:t>В настоящее время охват органов Администрации города Ханты-Мансийска системой электронного документооборота составляет 100%.</w:t>
      </w:r>
    </w:p>
    <w:p w:rsidR="00EB11DA" w:rsidRPr="00512E7A" w:rsidRDefault="00EB11DA" w:rsidP="00EB1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E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целях исполнения плана мероприятий («дорожной карты») по созданию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(утвержденного распоряжением Правительства Российской Федерации от 14.02.2015 №236-р) в 2015 году осуществлены работы по интеграции информационных систем в сфере образования («Электронный Детский Сад», «Электронная школа») </w:t>
      </w:r>
      <w:r w:rsidR="003D2F8B">
        <w:rPr>
          <w:rFonts w:ascii="Times New Roman" w:eastAsia="Calibri" w:hAnsi="Times New Roman" w:cs="Times New Roman"/>
          <w:sz w:val="28"/>
          <w:szCs w:val="28"/>
        </w:rPr>
        <w:br/>
      </w:r>
      <w:r w:rsidRPr="00512E7A">
        <w:rPr>
          <w:rFonts w:ascii="Times New Roman" w:eastAsia="Calibri" w:hAnsi="Times New Roman" w:cs="Times New Roman"/>
          <w:sz w:val="28"/>
          <w:szCs w:val="28"/>
        </w:rPr>
        <w:t>с информационной системой «Регион. Контингент».</w:t>
      </w:r>
    </w:p>
    <w:p w:rsidR="00512E7A" w:rsidRPr="00512E7A" w:rsidRDefault="00512E7A" w:rsidP="00512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B29" w:rsidRPr="00790B66" w:rsidRDefault="00D95B29" w:rsidP="00A3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Повышение информационной открытости органов местного самоуправления городских округов и муниципальных районов автономного округа, включая информацию о качестве окружающей среды, публичная </w:t>
      </w:r>
      <w:r w:rsidR="003D2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90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spellStart"/>
      <w:r w:rsidRPr="00790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медийная</w:t>
      </w:r>
      <w:proofErr w:type="spellEnd"/>
      <w:r w:rsidRPr="00790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(публикации и выступления в СМИ) активность глав городских округов и муниципальных районов автономного округа, работа </w:t>
      </w:r>
      <w:r w:rsidR="003D2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90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населением.</w:t>
      </w:r>
    </w:p>
    <w:p w:rsidR="00B03809" w:rsidRPr="00B03809" w:rsidRDefault="00B03809" w:rsidP="00B03809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09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более чем 50 федеральными, окружными и местными средствами массовой информации, формирование городской информационной повестки и координация деятельности городских СМИ, а также изучение общественного мнения и получение обратной связи от населения - приоритетные направления работы управления общественных связей Администрации города Ханты-Мансийска (далее - Управление). Это структурное подразделение стало совершенно новым в Администрации города Ханты-Мансийска. Созданное </w:t>
      </w:r>
      <w:r w:rsidR="00532267">
        <w:rPr>
          <w:rFonts w:ascii="Times New Roman" w:eastAsia="Times New Roman" w:hAnsi="Times New Roman" w:cs="Times New Roman"/>
          <w:sz w:val="28"/>
          <w:szCs w:val="28"/>
        </w:rPr>
        <w:br/>
      </w:r>
      <w:r w:rsidRPr="00B03809">
        <w:rPr>
          <w:rFonts w:ascii="Times New Roman" w:eastAsia="Times New Roman" w:hAnsi="Times New Roman" w:cs="Times New Roman"/>
          <w:sz w:val="28"/>
          <w:szCs w:val="28"/>
        </w:rPr>
        <w:t xml:space="preserve">в 2011 году Управление проделало большую работу. </w:t>
      </w:r>
    </w:p>
    <w:p w:rsidR="00B03809" w:rsidRPr="00B03809" w:rsidRDefault="00B03809" w:rsidP="00B038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809">
        <w:rPr>
          <w:rFonts w:ascii="Times New Roman" w:eastAsia="Times New Roman" w:hAnsi="Times New Roman" w:cs="Times New Roman"/>
          <w:sz w:val="28"/>
          <w:szCs w:val="28"/>
        </w:rPr>
        <w:t xml:space="preserve">Для решения задач в сфере развития средств массовых коммуникаций </w:t>
      </w:r>
      <w:r w:rsidR="003D2F8B">
        <w:rPr>
          <w:rFonts w:ascii="Times New Roman" w:eastAsia="Times New Roman" w:hAnsi="Times New Roman" w:cs="Times New Roman"/>
          <w:sz w:val="28"/>
          <w:szCs w:val="28"/>
        </w:rPr>
        <w:br/>
      </w:r>
      <w:r w:rsidRPr="00B03809">
        <w:rPr>
          <w:rFonts w:ascii="Times New Roman" w:eastAsia="Times New Roman" w:hAnsi="Times New Roman" w:cs="Times New Roman"/>
          <w:sz w:val="28"/>
          <w:szCs w:val="28"/>
        </w:rPr>
        <w:t xml:space="preserve">и выстраивания взаимодействия с общественными организациями на территории города Ханты-Мансийска в 2012 году была принята муниципальная программа </w:t>
      </w:r>
      <w:r w:rsidRPr="00B03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средств массовых коммуникаций города Ханты-Мансийска на 2013-2017 годы». </w:t>
      </w:r>
      <w:r w:rsidRPr="00B03809">
        <w:rPr>
          <w:rFonts w:ascii="Times New Roman" w:eastAsia="Times New Roman" w:hAnsi="Times New Roman" w:cs="Times New Roman"/>
          <w:sz w:val="28"/>
          <w:szCs w:val="28"/>
        </w:rPr>
        <w:t xml:space="preserve">Основная ее цель - создание условий для развития городских средств массовой информации, повышение мотивации журналистов к творческой </w:t>
      </w:r>
      <w:r w:rsidR="003D2F8B">
        <w:rPr>
          <w:rFonts w:ascii="Times New Roman" w:eastAsia="Times New Roman" w:hAnsi="Times New Roman" w:cs="Times New Roman"/>
          <w:sz w:val="28"/>
          <w:szCs w:val="28"/>
        </w:rPr>
        <w:br/>
      </w:r>
      <w:r w:rsidRPr="00B03809">
        <w:rPr>
          <w:rFonts w:ascii="Times New Roman" w:eastAsia="Times New Roman" w:hAnsi="Times New Roman" w:cs="Times New Roman"/>
          <w:sz w:val="28"/>
          <w:szCs w:val="28"/>
        </w:rPr>
        <w:t>и профессиональной деятельности,</w:t>
      </w:r>
      <w:r w:rsidRPr="00B03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содействие формированию благоприятного имиджа города Ханты-Мансийска посредством проведения целенаправленной эффективной информационной политики Администрации города </w:t>
      </w:r>
      <w:r w:rsidR="003D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03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Ханты-Мансийска и коммуникации с населением города.</w:t>
      </w:r>
    </w:p>
    <w:p w:rsidR="00B03809" w:rsidRPr="00B03809" w:rsidRDefault="00B03809" w:rsidP="00B038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09">
        <w:rPr>
          <w:rFonts w:ascii="Times New Roman" w:eastAsia="Times New Roman" w:hAnsi="Times New Roman" w:cs="Times New Roman"/>
          <w:sz w:val="28"/>
          <w:szCs w:val="28"/>
        </w:rPr>
        <w:t xml:space="preserve">В связи с ростом популярности </w:t>
      </w:r>
      <w:proofErr w:type="spellStart"/>
      <w:r w:rsidRPr="00B03809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 w:rsidRPr="00B03809">
        <w:rPr>
          <w:rFonts w:ascii="Times New Roman" w:eastAsia="Times New Roman" w:hAnsi="Times New Roman" w:cs="Times New Roman"/>
          <w:sz w:val="28"/>
          <w:szCs w:val="28"/>
        </w:rPr>
        <w:t xml:space="preserve"> как средств массовой информации, взаимодействие с электронными СМИ стало приоритетным направлением деятельности Управления.</w:t>
      </w:r>
    </w:p>
    <w:p w:rsidR="00B03809" w:rsidRPr="00B03809" w:rsidRDefault="00B03809" w:rsidP="00B038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09">
        <w:rPr>
          <w:rFonts w:ascii="Times New Roman" w:eastAsia="Times New Roman" w:hAnsi="Times New Roman" w:cs="Times New Roman"/>
          <w:sz w:val="28"/>
          <w:szCs w:val="28"/>
        </w:rPr>
        <w:t xml:space="preserve">В рамках информирования жителей города о деятельности органов местного самоуправления за январь-декабрь 2015 года (рис. </w:t>
      </w:r>
      <w:r w:rsidR="00F35587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B03809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</w:p>
    <w:p w:rsidR="00B03809" w:rsidRPr="00B03809" w:rsidRDefault="00532267" w:rsidP="00B038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03809" w:rsidRPr="00B03809">
        <w:rPr>
          <w:rFonts w:ascii="Times New Roman" w:eastAsia="Times New Roman" w:hAnsi="Times New Roman" w:cs="Times New Roman"/>
          <w:sz w:val="28"/>
          <w:szCs w:val="28"/>
        </w:rPr>
        <w:t xml:space="preserve">подготовлено и размещено в СМИ и </w:t>
      </w:r>
      <w:proofErr w:type="spellStart"/>
      <w:r w:rsidR="00B03809" w:rsidRPr="00B03809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="00B03809" w:rsidRPr="00B03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B03809" w:rsidRPr="00B03809">
        <w:rPr>
          <w:rFonts w:ascii="Times New Roman" w:eastAsia="Times New Roman" w:hAnsi="Times New Roman" w:cs="Times New Roman"/>
          <w:sz w:val="28"/>
          <w:szCs w:val="28"/>
        </w:rPr>
        <w:t>3870 информационных материалов (за 2014 год - 3562), что на 8,6% больше                 по сравнению с 2014 годом и на 84,8% по сравнению с 2012 годом, в том числе:</w:t>
      </w:r>
    </w:p>
    <w:p w:rsidR="00B03809" w:rsidRPr="00B03809" w:rsidRDefault="00532267" w:rsidP="00B038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03809" w:rsidRPr="00B03809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портале - 1730 информационных материалов (за 2014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03809" w:rsidRPr="00B03809">
        <w:rPr>
          <w:rFonts w:ascii="Times New Roman" w:eastAsia="Times New Roman" w:hAnsi="Times New Roman" w:cs="Times New Roman"/>
          <w:sz w:val="28"/>
          <w:szCs w:val="28"/>
        </w:rPr>
        <w:t xml:space="preserve"> 1554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</w:t>
      </w:r>
      <w:r w:rsidR="00B03809" w:rsidRPr="00B0380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03809" w:rsidRDefault="00532267" w:rsidP="00B038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03809" w:rsidRPr="00B03809">
        <w:rPr>
          <w:rFonts w:ascii="Times New Roman" w:eastAsia="Times New Roman" w:hAnsi="Times New Roman" w:cs="Times New Roman"/>
          <w:sz w:val="28"/>
          <w:szCs w:val="28"/>
        </w:rPr>
        <w:t xml:space="preserve">в городских СМИ - 1820 материалов (за 2014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03809" w:rsidRPr="00B03809">
        <w:rPr>
          <w:rFonts w:ascii="Times New Roman" w:eastAsia="Times New Roman" w:hAnsi="Times New Roman" w:cs="Times New Roman"/>
          <w:sz w:val="28"/>
          <w:szCs w:val="28"/>
        </w:rPr>
        <w:t xml:space="preserve"> 1649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материалов</w:t>
      </w:r>
      <w:r w:rsidR="00B03809" w:rsidRPr="00B0380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35587" w:rsidRPr="00B03809" w:rsidRDefault="00F35587" w:rsidP="00B038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809" w:rsidRPr="00B03809" w:rsidRDefault="00532267" w:rsidP="00B038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03809" w:rsidRPr="00B0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федеральных и региональных СМИ по информационным договорам сотрудничества - 365 материалов (за 2014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03809" w:rsidRPr="00B0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</w:t>
      </w:r>
      <w:r w:rsidR="00B03809" w:rsidRPr="00B0380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3809" w:rsidRPr="00B03809" w:rsidRDefault="00B03809" w:rsidP="00B0380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Рис. </w:t>
      </w:r>
      <w:r w:rsidR="00F35587">
        <w:rPr>
          <w:rFonts w:ascii="Times New Roman" w:eastAsia="Calibri" w:hAnsi="Times New Roman" w:cs="Times New Roman"/>
          <w:color w:val="000000"/>
          <w:sz w:val="28"/>
          <w:szCs w:val="28"/>
        </w:rPr>
        <w:t>16</w:t>
      </w:r>
    </w:p>
    <w:p w:rsidR="00B03809" w:rsidRPr="00B03809" w:rsidRDefault="00F35587" w:rsidP="00B038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472ABE" wp14:editId="453F6582">
            <wp:simplePos x="0" y="0"/>
            <wp:positionH relativeFrom="column">
              <wp:posOffset>259715</wp:posOffset>
            </wp:positionH>
            <wp:positionV relativeFrom="paragraph">
              <wp:posOffset>209550</wp:posOffset>
            </wp:positionV>
            <wp:extent cx="5592445" cy="3598545"/>
            <wp:effectExtent l="0" t="0" r="8255" b="1905"/>
            <wp:wrapTopAndBottom/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809" w:rsidRPr="00B03809" w:rsidRDefault="00B03809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809">
        <w:rPr>
          <w:rFonts w:ascii="Times New Roman" w:eastAsia="Calibri" w:hAnsi="Times New Roman" w:cs="Times New Roman"/>
          <w:sz w:val="28"/>
          <w:szCs w:val="28"/>
        </w:rPr>
        <w:t xml:space="preserve">С целью более широкого освещения деятельности органов местного самоуправления к 2015 году планировалось достичь показателя «Количество размещенных пресс-релизов на Официальном информационном портале органов местного самоуправления города Ханты-Мансийска» - 1500. Но уже в 2014 году Управлением было подготовлено и направлено в СМИ - 1554 пресс-релиза, </w:t>
      </w:r>
      <w:r w:rsidR="00532267">
        <w:rPr>
          <w:rFonts w:ascii="Times New Roman" w:eastAsia="Calibri" w:hAnsi="Times New Roman" w:cs="Times New Roman"/>
          <w:sz w:val="28"/>
          <w:szCs w:val="28"/>
        </w:rPr>
        <w:br/>
      </w:r>
      <w:r w:rsidRPr="00B03809">
        <w:rPr>
          <w:rFonts w:ascii="Times New Roman" w:eastAsia="Calibri" w:hAnsi="Times New Roman" w:cs="Times New Roman"/>
          <w:sz w:val="28"/>
          <w:szCs w:val="28"/>
        </w:rPr>
        <w:t>а в 2015 году этот показатель достиг - 1730.</w:t>
      </w:r>
    </w:p>
    <w:p w:rsidR="00B03809" w:rsidRPr="00B03809" w:rsidRDefault="00B03809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Востребованность и актуальность этой работы показывает тот факт, </w:t>
      </w:r>
      <w:r w:rsidR="00F3558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многие пресс-релизы публиковали несколько СМИ, зачастую в неизменном виде, что свидетельствует о качестве их подготовки. Информация подавалась интересно, профессионально, СМИ охотно цитировали и распространяли             ее как готовый журналистский материал. </w:t>
      </w:r>
    </w:p>
    <w:p w:rsidR="00B03809" w:rsidRPr="00B03809" w:rsidRDefault="00B03809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809">
        <w:rPr>
          <w:rFonts w:ascii="Times New Roman" w:eastAsia="Calibri" w:hAnsi="Times New Roman" w:cs="Times New Roman"/>
          <w:sz w:val="28"/>
          <w:szCs w:val="28"/>
        </w:rPr>
        <w:t>Кроме того, Управлением осуществляется координация деятельности учрежденного органами власти местного самоуправления муниципального бюджетного учреждения «Городской информационный центр» (далее - Городской информационный центр), с помощью которого реализуются основные информационные проекты.</w:t>
      </w:r>
    </w:p>
    <w:p w:rsidR="00B03809" w:rsidRPr="00B03809" w:rsidRDefault="00B03809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Телевидение Ханты-Мансийска «Новая студия» вещает на канале «СТС» </w:t>
      </w:r>
      <w:r w:rsidR="0053226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 раз в неделю. Потенциальная аудитория, по экспертным оценкам - 87 тыс. чел. </w:t>
      </w:r>
    </w:p>
    <w:p w:rsidR="00B03809" w:rsidRPr="00B03809" w:rsidRDefault="00B03809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>Городская газета «</w:t>
      </w:r>
      <w:proofErr w:type="spellStart"/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>Самарово</w:t>
      </w:r>
      <w:proofErr w:type="spellEnd"/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Ханты-Мансийск» распространяется               на территории города </w:t>
      </w:r>
      <w:r w:rsidRPr="00B03809">
        <w:rPr>
          <w:rFonts w:ascii="Times New Roman" w:eastAsia="Calibri" w:hAnsi="Times New Roman" w:cs="Times New Roman"/>
          <w:sz w:val="28"/>
          <w:szCs w:val="28"/>
        </w:rPr>
        <w:t xml:space="preserve">тиражом 6000 экз. </w:t>
      </w: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(в 2014 году - 5900 экз.) </w:t>
      </w:r>
      <w:r w:rsidR="00F3558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периодичностью 1 раз в неделю, ее объем - 32 полосы. </w:t>
      </w:r>
    </w:p>
    <w:p w:rsidR="00B03809" w:rsidRPr="00B03809" w:rsidRDefault="00B03809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2015 году редакцией газеты было осуществлено несколько проектов, которые позволили не только расширить аудиторию, но и вовлечь горожан               </w:t>
      </w:r>
      <w:r w:rsidR="0087375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 общественно-политическую жизнь Ханты-Мансийска. Первый проект </w:t>
      </w:r>
      <w:r w:rsidR="00F3558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>под названием «Сказки о Ханты-Мансийске» был направлен на развитие                       и поощрение творческих способностей детей города в возрасте от 2 до 14 лет. Детям предлагалось написать необычную сказку об окружной столице.</w:t>
      </w:r>
    </w:p>
    <w:p w:rsidR="00B03809" w:rsidRPr="00B03809" w:rsidRDefault="00B03809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юбилею Победы в Великой Отечественной войне был опубликован цикл статей о малоизвестных и забытых героях, которыми гордится наша страна, </w:t>
      </w:r>
      <w:r w:rsidR="00F3558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>а также воспоминания ветеранов, блокадников, тружеников тыла, детей войны.</w:t>
      </w:r>
    </w:p>
    <w:p w:rsidR="00B03809" w:rsidRPr="00B03809" w:rsidRDefault="00B03809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Кроме того, в течение всего года в рубрике «Люди земли </w:t>
      </w:r>
      <w:proofErr w:type="spellStart"/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>югорской</w:t>
      </w:r>
      <w:proofErr w:type="spellEnd"/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публиковались материалы о людях разных профессий, внесших свой вклад                </w:t>
      </w:r>
      <w:r w:rsidR="0087375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>в развитие Ханты-Мансийска и Ханты-Мансийского автономного округа – Югры.</w:t>
      </w:r>
    </w:p>
    <w:p w:rsidR="00B03809" w:rsidRPr="00B03809" w:rsidRDefault="00B03809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Всего Городским информационным центром осуществлено производство </w:t>
      </w:r>
      <w:r w:rsidR="0066169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>и выход в эфир (печать) более 3000 оригинальных журналистских материалов. Приоритетными темами освещения в 2015 году стали:</w:t>
      </w:r>
      <w:r w:rsidR="006616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жилищная политика - 25%,</w:t>
      </w:r>
      <w:r w:rsidR="00D603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61691">
        <w:rPr>
          <w:rFonts w:ascii="Times New Roman" w:eastAsia="Calibri" w:hAnsi="Times New Roman" w:cs="Times New Roman"/>
          <w:color w:val="000000"/>
          <w:sz w:val="28"/>
          <w:szCs w:val="28"/>
        </w:rPr>
        <w:t>ЖКХ - 21%, социальная политика - 17%,</w:t>
      </w:r>
      <w:r w:rsidR="00D603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>гражданско</w:t>
      </w:r>
      <w:r w:rsidR="006616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-патриотическое воспитание - 13%, </w:t>
      </w: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профилактика</w:t>
      </w:r>
      <w:r w:rsidR="006616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правонарушений - 11%,</w:t>
      </w:r>
      <w:r w:rsidR="00D603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образование -</w:t>
      </w:r>
      <w:r w:rsidR="006616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>9%.</w:t>
      </w:r>
    </w:p>
    <w:p w:rsidR="00B03809" w:rsidRPr="00B03809" w:rsidRDefault="00B03809" w:rsidP="00B038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2015 году в рамках реализации муниципальной программы</w:t>
      </w:r>
      <w:r w:rsidRPr="00B03809">
        <w:rPr>
          <w:rFonts w:ascii="Times New Roman" w:eastAsia="Times New Roman" w:hAnsi="Times New Roman" w:cs="Times New Roman"/>
          <w:sz w:val="28"/>
          <w:szCs w:val="28"/>
        </w:rPr>
        <w:t xml:space="preserve"> «Развитие средств массовых коммуникаций города Ханты-Мансийска на 2013-2017 годы»</w:t>
      </w:r>
      <w:r w:rsidR="0087375B">
        <w:rPr>
          <w:rFonts w:ascii="Times New Roman" w:eastAsia="Times New Roman" w:hAnsi="Times New Roman" w:cs="Times New Roman"/>
          <w:sz w:val="28"/>
          <w:szCs w:val="28"/>
        </w:rPr>
        <w:br/>
      </w:r>
      <w:r w:rsidRPr="00B03809">
        <w:rPr>
          <w:rFonts w:ascii="Times New Roman" w:eastAsia="Times New Roman" w:hAnsi="Times New Roman" w:cs="Times New Roman"/>
          <w:sz w:val="28"/>
          <w:szCs w:val="28"/>
        </w:rPr>
        <w:t xml:space="preserve"> с целью поддержки и мотивации </w:t>
      </w:r>
      <w:r w:rsidRPr="00B0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журналистов городских и окружных СМИ </w:t>
      </w:r>
      <w:r w:rsidR="008737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освещению деятельности городской власти, основных проблем и событий городской жизни Управлением был организован и проведен конкурс профессионального журналистского мастерства «Журналист года-2015», в котором приняли участие более 20 авторов, представивших на суд жюри </w:t>
      </w:r>
      <w:r w:rsidR="00F35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809">
        <w:rPr>
          <w:rFonts w:ascii="Times New Roman" w:eastAsia="Times New Roman" w:hAnsi="Times New Roman" w:cs="Times New Roman"/>
          <w:sz w:val="28"/>
          <w:szCs w:val="28"/>
          <w:lang w:eastAsia="ru-RU"/>
        </w:rPr>
        <w:t>48 работ различного жанра.</w:t>
      </w:r>
    </w:p>
    <w:p w:rsidR="00B03809" w:rsidRPr="00B03809" w:rsidRDefault="00B03809" w:rsidP="00B038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о</w:t>
      </w:r>
      <w:r w:rsidRPr="00B03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казана информационная поддержка таким социально значимым проектам как: </w:t>
      </w:r>
      <w:r w:rsidRPr="00B03809">
        <w:rPr>
          <w:rFonts w:ascii="Times New Roman" w:eastAsia="Times New Roman" w:hAnsi="Times New Roman" w:cs="Times New Roman"/>
          <w:sz w:val="28"/>
          <w:szCs w:val="28"/>
        </w:rPr>
        <w:t xml:space="preserve">городская молодежная акция «Мы выбираем будущее», летняя оздоровительная кампания, зимняя </w:t>
      </w:r>
      <w:proofErr w:type="spellStart"/>
      <w:r w:rsidRPr="00B03809">
        <w:rPr>
          <w:rFonts w:ascii="Times New Roman" w:eastAsia="Times New Roman" w:hAnsi="Times New Roman" w:cs="Times New Roman"/>
          <w:sz w:val="28"/>
          <w:szCs w:val="28"/>
        </w:rPr>
        <w:t>Сурдлимпиада</w:t>
      </w:r>
      <w:proofErr w:type="spellEnd"/>
      <w:r w:rsidRPr="00B03809">
        <w:rPr>
          <w:rFonts w:ascii="Times New Roman" w:eastAsia="Times New Roman" w:hAnsi="Times New Roman" w:cs="Times New Roman"/>
          <w:sz w:val="28"/>
          <w:szCs w:val="28"/>
        </w:rPr>
        <w:t xml:space="preserve">, финал Кубка мира </w:t>
      </w:r>
      <w:r w:rsidR="00F514CB">
        <w:rPr>
          <w:rFonts w:ascii="Times New Roman" w:eastAsia="Times New Roman" w:hAnsi="Times New Roman" w:cs="Times New Roman"/>
          <w:sz w:val="28"/>
          <w:szCs w:val="28"/>
        </w:rPr>
        <w:br/>
      </w:r>
      <w:r w:rsidRPr="00B03809">
        <w:rPr>
          <w:rFonts w:ascii="Times New Roman" w:eastAsia="Times New Roman" w:hAnsi="Times New Roman" w:cs="Times New Roman"/>
          <w:sz w:val="28"/>
          <w:szCs w:val="28"/>
        </w:rPr>
        <w:t xml:space="preserve">по биатлону, мероприятиям по подготовке и проведению празднования 70-летия Победы в Великой Отечественной войне (122 эксклюзивных материала, посвященных этому юбилею выпустило в СМИ Городской информационный центр), а также реализован туристско-информационный проект «Ханты-Мансийск - Новогодняя столица». Проведены информационные компании с целью продвижения Дня государственного флага и региональной акции «Под флагом моей страны»; акций «Благодарю за мир» и «Спасибо за победу!», </w:t>
      </w:r>
      <w:r w:rsidR="00F514CB">
        <w:rPr>
          <w:rFonts w:ascii="Times New Roman" w:eastAsia="Times New Roman" w:hAnsi="Times New Roman" w:cs="Times New Roman"/>
          <w:sz w:val="28"/>
          <w:szCs w:val="28"/>
        </w:rPr>
        <w:br/>
      </w:r>
      <w:r w:rsidRPr="00B03809">
        <w:rPr>
          <w:rFonts w:ascii="Times New Roman" w:eastAsia="Times New Roman" w:hAnsi="Times New Roman" w:cs="Times New Roman"/>
          <w:sz w:val="28"/>
          <w:szCs w:val="28"/>
        </w:rPr>
        <w:t xml:space="preserve">Дня физкультурника; фестиваля «Славим человека труда», </w:t>
      </w:r>
      <w:r w:rsidRPr="00B0380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03809">
        <w:rPr>
          <w:rFonts w:ascii="Times New Roman" w:eastAsia="Times New Roman" w:hAnsi="Times New Roman" w:cs="Times New Roman"/>
          <w:sz w:val="28"/>
          <w:szCs w:val="28"/>
        </w:rPr>
        <w:t xml:space="preserve"> городской сельскохозяйственной ярмарки «Дары осени».</w:t>
      </w:r>
    </w:p>
    <w:p w:rsidR="00B03809" w:rsidRPr="00B03809" w:rsidRDefault="00B03809" w:rsidP="00B038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09">
        <w:rPr>
          <w:rFonts w:ascii="Times New Roman" w:eastAsia="Times New Roman" w:hAnsi="Times New Roman" w:cs="Times New Roman"/>
          <w:sz w:val="28"/>
          <w:szCs w:val="28"/>
        </w:rPr>
        <w:t xml:space="preserve">Ведущим электронным каналом, содержащим и распространяющим информацию о деятельности Администрации города Ханты-Мансийска и Думы города Ханты-Мансийска, городских событиях, - Официальный портал </w:t>
      </w:r>
      <w:r w:rsidR="00F514CB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 города Ханты-Мансийска</w:t>
      </w:r>
      <w:r w:rsidRPr="00B038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0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рейтинге «Рамблер </w:t>
      </w:r>
      <w:r w:rsidR="00F51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топ-100» среди веб-порталов официальных органов власти к началу 2016 года </w:t>
      </w:r>
      <w:r w:rsidR="00F51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занял 9 строку, поднявшись в сравнении с 2014 годом на одну позицию. </w:t>
      </w:r>
      <w:r w:rsidR="00F51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сутки фиксируются около 2 тысяч уникальных посетителей, 8 тысяч просмотров в неделю - эти цифры сохраняются на протяжении последних двух лет.</w:t>
      </w:r>
      <w:r w:rsidRPr="00B03809">
        <w:rPr>
          <w:rFonts w:ascii="Times New Roman" w:eastAsia="Times New Roman" w:hAnsi="Times New Roman" w:cs="Times New Roman"/>
          <w:sz w:val="28"/>
          <w:szCs w:val="28"/>
        </w:rPr>
        <w:t xml:space="preserve"> Этому способствуют качественное наполнение сайта, своевременная актуализация информации и в особенности то, что в 2015 году в соответствии </w:t>
      </w:r>
      <w:r w:rsidR="00F514CB">
        <w:rPr>
          <w:rFonts w:ascii="Times New Roman" w:eastAsia="Times New Roman" w:hAnsi="Times New Roman" w:cs="Times New Roman"/>
          <w:sz w:val="28"/>
          <w:szCs w:val="28"/>
        </w:rPr>
        <w:br/>
      </w:r>
      <w:r w:rsidRPr="00B038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заключенным соглашением, новости, размещаемые на Официальном портале, индексируются поисковой системой «Яндекс». </w:t>
      </w:r>
    </w:p>
    <w:p w:rsidR="00B03809" w:rsidRPr="00B03809" w:rsidRDefault="00B03809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809">
        <w:rPr>
          <w:rFonts w:ascii="Times New Roman" w:eastAsia="Calibri" w:hAnsi="Times New Roman" w:cs="Times New Roman"/>
          <w:sz w:val="28"/>
          <w:szCs w:val="28"/>
        </w:rPr>
        <w:t xml:space="preserve">Еще одним направлением деятельности Управления в рамках работы </w:t>
      </w:r>
      <w:r w:rsidR="00F514CB">
        <w:rPr>
          <w:rFonts w:ascii="Times New Roman" w:eastAsia="Calibri" w:hAnsi="Times New Roman" w:cs="Times New Roman"/>
          <w:sz w:val="28"/>
          <w:szCs w:val="28"/>
        </w:rPr>
        <w:br/>
      </w:r>
      <w:r w:rsidRPr="00B03809">
        <w:rPr>
          <w:rFonts w:ascii="Times New Roman" w:eastAsia="Calibri" w:hAnsi="Times New Roman" w:cs="Times New Roman"/>
          <w:sz w:val="28"/>
          <w:szCs w:val="28"/>
        </w:rPr>
        <w:t xml:space="preserve">по организации обратной связи с населением города является подготовка совместно с органами Администрации города Ханты-Мансийска ответов </w:t>
      </w:r>
      <w:r w:rsidR="00F514CB">
        <w:rPr>
          <w:rFonts w:ascii="Times New Roman" w:eastAsia="Calibri" w:hAnsi="Times New Roman" w:cs="Times New Roman"/>
          <w:sz w:val="28"/>
          <w:szCs w:val="28"/>
        </w:rPr>
        <w:br/>
      </w:r>
      <w:r w:rsidRPr="00B03809">
        <w:rPr>
          <w:rFonts w:ascii="Times New Roman" w:eastAsia="Calibri" w:hAnsi="Times New Roman" w:cs="Times New Roman"/>
          <w:sz w:val="28"/>
          <w:szCs w:val="28"/>
        </w:rPr>
        <w:t xml:space="preserve">на вопросы ханты-мансийцев в рубрике «Вопрос-ответ» на Официальном портале. </w:t>
      </w:r>
    </w:p>
    <w:p w:rsidR="00B03809" w:rsidRPr="00B03809" w:rsidRDefault="00B03809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809">
        <w:rPr>
          <w:rFonts w:ascii="Times New Roman" w:eastAsia="Calibri" w:hAnsi="Times New Roman" w:cs="Times New Roman"/>
          <w:sz w:val="28"/>
          <w:szCs w:val="28"/>
        </w:rPr>
        <w:t xml:space="preserve">Рубрика является востребованной, так, в 2015 году поступило 462 вопроса, что на 217% больше аналогичного периода 2014 года. </w:t>
      </w:r>
    </w:p>
    <w:p w:rsidR="00B03809" w:rsidRPr="00B03809" w:rsidRDefault="00B03809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Социологические исследования - важный инструмент обратной связи               </w:t>
      </w:r>
      <w:r w:rsidR="0087375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населением. </w:t>
      </w:r>
    </w:p>
    <w:p w:rsidR="00B03809" w:rsidRPr="00B03809" w:rsidRDefault="00B03809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809">
        <w:rPr>
          <w:rFonts w:ascii="Times New Roman" w:eastAsia="Calibri" w:hAnsi="Times New Roman" w:cs="Times New Roman"/>
          <w:sz w:val="28"/>
          <w:szCs w:val="28"/>
        </w:rPr>
        <w:t>Систематически Управлением организуются и проводятся анкетирование, онлайн и телефонные опросы общественного мнения с целью выявления уровня доверия населения к деятельности муниципальных органов власти.</w:t>
      </w:r>
    </w:p>
    <w:p w:rsidR="00B03809" w:rsidRPr="00B03809" w:rsidRDefault="00B03809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2015 году был проведен онлайн-опрос населения, в котором участвовало 456 человек. </w:t>
      </w:r>
    </w:p>
    <w:p w:rsidR="00B03809" w:rsidRPr="00B03809" w:rsidRDefault="00B03809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Главными достижениями деятельности Администрации города </w:t>
      </w:r>
      <w:r w:rsidR="0087375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>Ханты-Мансийска в 2015 году, по мнению населения, стали:</w:t>
      </w:r>
    </w:p>
    <w:p w:rsidR="00B03809" w:rsidRPr="00B03809" w:rsidRDefault="00F514CB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03809"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>строительство нового жилья 63% (за 2014 год - 41,4%);</w:t>
      </w:r>
    </w:p>
    <w:p w:rsidR="00B03809" w:rsidRPr="00B03809" w:rsidRDefault="00F514CB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03809"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>строительство социальных объектов и снос ветхого жилья - 45% и 43% соответственно (в 2014 году - 36,7% и 26,3%);</w:t>
      </w:r>
    </w:p>
    <w:p w:rsidR="00B03809" w:rsidRPr="00B03809" w:rsidRDefault="00F514CB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3809" w:rsidRPr="00B03809">
        <w:rPr>
          <w:rFonts w:ascii="Times New Roman" w:eastAsia="Calibri" w:hAnsi="Times New Roman" w:cs="Times New Roman"/>
          <w:sz w:val="28"/>
          <w:szCs w:val="28"/>
        </w:rPr>
        <w:t>решение проблемы нехватки мест в детских садах - 49% (в 2014 году - 26,1%);</w:t>
      </w:r>
    </w:p>
    <w:p w:rsidR="00B03809" w:rsidRPr="00B03809" w:rsidRDefault="00F514CB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03809"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>60% участников опроса заявило о доверии к органам местного самоуправления города (в 2014 году - 50,4%). Средняя оценка деятельности органов местного самоуправления п</w:t>
      </w:r>
      <w:r w:rsidR="008737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пятибалльной шкале составила </w:t>
      </w:r>
      <w:r w:rsidR="00B03809"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3,4 балла </w:t>
      </w:r>
      <w:r w:rsidR="0087375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B03809"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(в 2014 году- 3,28 балла). </w:t>
      </w:r>
    </w:p>
    <w:p w:rsidR="00B03809" w:rsidRPr="00B03809" w:rsidRDefault="00B03809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Кризисные проявления в стране, которые </w:t>
      </w:r>
      <w:r w:rsidR="00BB4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дали о себе знать еще </w:t>
      </w: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>во второй половине 2014 года, продолжились и в 2015 году. Тем не менее, уровень социального самочувствия жителей Ханты-Мансийска остался на достаточно высоком уровне - 56,6% респондентов не отметили негативных тенденций в городской жизни (в 2014 году более 60%). 30% участников проведенного исследования высказ</w:t>
      </w:r>
      <w:r w:rsidR="00BB4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ало мнение, что жизнь в городе </w:t>
      </w:r>
      <w:r w:rsidRPr="00B038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последние два года изменилась в лучшую сторону; 26,7% считает, что осталась без изменений. </w:t>
      </w:r>
    </w:p>
    <w:p w:rsidR="00B03809" w:rsidRDefault="00B03809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809">
        <w:rPr>
          <w:rFonts w:ascii="Times New Roman" w:eastAsia="Calibri" w:hAnsi="Times New Roman" w:cs="Times New Roman"/>
          <w:sz w:val="28"/>
          <w:szCs w:val="28"/>
        </w:rPr>
        <w:t>В связи с вышеизложенным следует констатировать в целом достаточно высокий уровень оценки населением эффективности и открытости деятельности органов местного самоуправления города Ханты-Мансийска в 2015 году.</w:t>
      </w:r>
    </w:p>
    <w:p w:rsidR="00B03809" w:rsidRPr="00B03809" w:rsidRDefault="00B03809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809">
        <w:rPr>
          <w:rFonts w:ascii="Times New Roman" w:eastAsia="Calibri" w:hAnsi="Times New Roman" w:cs="Times New Roman"/>
          <w:sz w:val="28"/>
          <w:szCs w:val="28"/>
        </w:rPr>
        <w:t xml:space="preserve">В 2016 году приоритетными задачами Управления станут: </w:t>
      </w:r>
    </w:p>
    <w:p w:rsidR="00B03809" w:rsidRPr="00B03809" w:rsidRDefault="00F514CB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3809" w:rsidRPr="00B03809">
        <w:rPr>
          <w:rFonts w:ascii="Times New Roman" w:eastAsia="Calibri" w:hAnsi="Times New Roman" w:cs="Times New Roman"/>
          <w:sz w:val="28"/>
          <w:szCs w:val="28"/>
        </w:rPr>
        <w:t>концептуальное преобразование работы муниципального бюджетного учреждения «Городской информационный центр» в части изменения формата и увеличения количества оригинальных телепрограмм, создания информационно-аналитического портала;</w:t>
      </w:r>
    </w:p>
    <w:p w:rsidR="00B03809" w:rsidRPr="00B03809" w:rsidRDefault="00F514CB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3809" w:rsidRPr="00B03809">
        <w:rPr>
          <w:rFonts w:ascii="Times New Roman" w:eastAsia="Calibri" w:hAnsi="Times New Roman" w:cs="Times New Roman"/>
          <w:sz w:val="28"/>
          <w:szCs w:val="28"/>
        </w:rPr>
        <w:t xml:space="preserve">координация и продвижение вопросов местного самоуправления                     </w:t>
      </w:r>
      <w:r w:rsidR="00BB4A16">
        <w:rPr>
          <w:rFonts w:ascii="Times New Roman" w:eastAsia="Calibri" w:hAnsi="Times New Roman" w:cs="Times New Roman"/>
          <w:sz w:val="28"/>
          <w:szCs w:val="28"/>
        </w:rPr>
        <w:br/>
      </w:r>
      <w:r w:rsidR="00B03809" w:rsidRPr="00B03809">
        <w:rPr>
          <w:rFonts w:ascii="Times New Roman" w:eastAsia="Calibri" w:hAnsi="Times New Roman" w:cs="Times New Roman"/>
          <w:sz w:val="28"/>
          <w:szCs w:val="28"/>
        </w:rPr>
        <w:t>в социальных сетях и городском форуме;</w:t>
      </w:r>
    </w:p>
    <w:p w:rsidR="00B03809" w:rsidRPr="00B03809" w:rsidRDefault="00F514CB" w:rsidP="00B0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B03809" w:rsidRPr="00B03809">
        <w:rPr>
          <w:rFonts w:ascii="Times New Roman" w:eastAsia="Calibri" w:hAnsi="Times New Roman" w:cs="Times New Roman"/>
          <w:sz w:val="28"/>
          <w:szCs w:val="28"/>
        </w:rPr>
        <w:t xml:space="preserve">переход на </w:t>
      </w:r>
      <w:proofErr w:type="spellStart"/>
      <w:r w:rsidR="00B03809" w:rsidRPr="00B03809">
        <w:rPr>
          <w:rFonts w:ascii="Times New Roman" w:eastAsia="Calibri" w:hAnsi="Times New Roman" w:cs="Times New Roman"/>
          <w:sz w:val="28"/>
          <w:szCs w:val="28"/>
        </w:rPr>
        <w:t>грантовую</w:t>
      </w:r>
      <w:proofErr w:type="spellEnd"/>
      <w:r w:rsidR="00B03809" w:rsidRPr="00B03809">
        <w:rPr>
          <w:rFonts w:ascii="Times New Roman" w:eastAsia="Calibri" w:hAnsi="Times New Roman" w:cs="Times New Roman"/>
          <w:sz w:val="28"/>
          <w:szCs w:val="28"/>
        </w:rPr>
        <w:t xml:space="preserve"> систему поддержки средств массовой информации и социально-ориентированных некоммерческих организаций.</w:t>
      </w:r>
    </w:p>
    <w:p w:rsidR="005C0A64" w:rsidRPr="00FC133B" w:rsidRDefault="005C0A64" w:rsidP="004B7A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bookmarkStart w:id="7" w:name="_3._Исполнение_отдельных"/>
      <w:bookmarkEnd w:id="7"/>
    </w:p>
    <w:p w:rsidR="00D95B29" w:rsidRPr="00D355FD" w:rsidRDefault="00D95B29" w:rsidP="00A3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</w:t>
      </w:r>
      <w:r w:rsidR="0033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35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</w:r>
    </w:p>
    <w:p w:rsidR="003C08A7" w:rsidRPr="003C08A7" w:rsidRDefault="003C08A7" w:rsidP="000703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органами Администрации города Ханты-Мансийска проведена работа по совершенствованию нормативного правового регулирования предоставления муниципальных услуг. </w:t>
      </w:r>
      <w:r w:rsidRPr="003C08A7">
        <w:rPr>
          <w:rFonts w:ascii="Times New Roman" w:eastAsia="Calibri" w:hAnsi="Times New Roman" w:cs="Times New Roman"/>
          <w:sz w:val="28"/>
          <w:szCs w:val="28"/>
          <w:lang w:eastAsia="ru-RU"/>
        </w:rPr>
        <w:t>Общее число предоставляемых органами местного самоуправления государственных и муниципальных услуг составляет 58</w:t>
      </w:r>
      <w:r w:rsidRPr="003C0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C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несены изменения в 28 административных регламентов предоставления муниципальных услуг. Изменения вносились в связи с необходимостью приведения регламентов в соответствие с действующим законодательством, </w:t>
      </w:r>
      <w:r w:rsidR="00337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целях увеличения количества услуг, предоставляемых по принципу «одного окна» в автономном учреждении Ханты-Мансийского автономного округа - Югры «Многофункциональный центр предоставления государственных </w:t>
      </w:r>
      <w:r w:rsidR="00337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08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</w:t>
      </w:r>
      <w:r w:rsidR="0035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Югры» </w:t>
      </w:r>
      <w:r w:rsidRPr="003C08A7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МФЦ Югры)</w:t>
      </w:r>
      <w:r w:rsidRPr="003C0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8A7" w:rsidRPr="003C08A7" w:rsidRDefault="003C08A7" w:rsidP="000703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08A7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заявителей, получивших муниципальные услуги, предоставленные органами Администрации города Ханты-Мансийска в 2015 году, составило 25292, что на 12% больше по сравнению с 2014 годом.</w:t>
      </w:r>
    </w:p>
    <w:p w:rsidR="003C08A7" w:rsidRPr="003C08A7" w:rsidRDefault="003C08A7" w:rsidP="000703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08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2015 году внесены изменения в Соглашение о взаимодействии между Администрацией города Ханты-Мансийска и МФЦ Югры. В соответствии               </w:t>
      </w:r>
      <w:r w:rsidR="00BB4A1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C08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новым Соглашением в МФЦ Югры в настоящее время можно получить               </w:t>
      </w:r>
      <w:r w:rsidR="00BB4A1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C08A7">
        <w:rPr>
          <w:rFonts w:ascii="Times New Roman" w:eastAsia="Calibri" w:hAnsi="Times New Roman" w:cs="Times New Roman"/>
          <w:sz w:val="28"/>
          <w:szCs w:val="28"/>
          <w:lang w:eastAsia="ru-RU"/>
        </w:rPr>
        <w:t>22 муниципальные услуги (</w:t>
      </w:r>
      <w:r w:rsidRPr="003C08A7">
        <w:rPr>
          <w:rFonts w:ascii="Times New Roman" w:eastAsia="Calibri" w:hAnsi="Times New Roman" w:cs="Times New Roman"/>
          <w:sz w:val="28"/>
          <w:szCs w:val="28"/>
        </w:rPr>
        <w:t xml:space="preserve">в 2013 году - 7 муниципальных услуг, в 2014 году - </w:t>
      </w:r>
      <w:r w:rsidR="00BB4A16">
        <w:rPr>
          <w:rFonts w:ascii="Times New Roman" w:eastAsia="Calibri" w:hAnsi="Times New Roman" w:cs="Times New Roman"/>
          <w:sz w:val="28"/>
          <w:szCs w:val="28"/>
        </w:rPr>
        <w:br/>
      </w:r>
      <w:r w:rsidRPr="003C08A7">
        <w:rPr>
          <w:rFonts w:ascii="Times New Roman" w:eastAsia="Calibri" w:hAnsi="Times New Roman" w:cs="Times New Roman"/>
          <w:sz w:val="28"/>
          <w:szCs w:val="28"/>
        </w:rPr>
        <w:t>16 услуг).</w:t>
      </w:r>
    </w:p>
    <w:p w:rsidR="003C08A7" w:rsidRDefault="003C08A7" w:rsidP="0007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08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портале государственных услуг доступны для получения в электронном виде 34 услуги (рис. </w:t>
      </w:r>
      <w:r w:rsidR="00661691">
        <w:rPr>
          <w:rFonts w:ascii="Times New Roman" w:eastAsia="Calibri" w:hAnsi="Times New Roman" w:cs="Times New Roman"/>
          <w:color w:val="000000"/>
          <w:sz w:val="28"/>
          <w:szCs w:val="28"/>
        </w:rPr>
        <w:t>17</w:t>
      </w:r>
      <w:r w:rsidRPr="003C08A7">
        <w:rPr>
          <w:rFonts w:ascii="Times New Roman" w:eastAsia="Calibri" w:hAnsi="Times New Roman" w:cs="Times New Roman"/>
          <w:color w:val="000000"/>
          <w:sz w:val="28"/>
          <w:szCs w:val="28"/>
        </w:rPr>
        <w:t>), предоставляемые органами Администрации города Ханты-Мансийска.</w:t>
      </w:r>
    </w:p>
    <w:p w:rsidR="001A74C6" w:rsidRPr="001A74C6" w:rsidRDefault="001A74C6" w:rsidP="001A7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4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начала 2015 года реализовано предоставление следующих услуг </w:t>
      </w:r>
      <w:r w:rsidR="00BB4A1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A74C6">
        <w:rPr>
          <w:rFonts w:ascii="Times New Roman" w:eastAsia="Calibri" w:hAnsi="Times New Roman" w:cs="Times New Roman"/>
          <w:color w:val="000000"/>
          <w:sz w:val="28"/>
          <w:szCs w:val="28"/>
        </w:rPr>
        <w:t>в электронном виде:</w:t>
      </w:r>
    </w:p>
    <w:p w:rsidR="001A74C6" w:rsidRPr="001A74C6" w:rsidRDefault="001A74C6" w:rsidP="001A7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4C6">
        <w:rPr>
          <w:rFonts w:ascii="Times New Roman" w:eastAsia="Calibri" w:hAnsi="Times New Roman" w:cs="Times New Roman"/>
          <w:color w:val="000000"/>
          <w:sz w:val="28"/>
          <w:szCs w:val="28"/>
        </w:rPr>
        <w:t>- зачисление в образовательную организацию. С момента запуска такой возможностью воспользовались более 120 жителей города, что составило более 10% от общего числа поданных заявлений в школы;</w:t>
      </w:r>
    </w:p>
    <w:p w:rsidR="00337895" w:rsidRDefault="001A74C6" w:rsidP="001A7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4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предоставление информации о текущей успеваемости учащегося, ведение электронного дневника и электронного журнала успеваемости. С начала нового учебного года любой родитель города, зарегистрированный на портале </w:t>
      </w:r>
      <w:proofErr w:type="spellStart"/>
      <w:r w:rsidRPr="001A74C6">
        <w:rPr>
          <w:rFonts w:ascii="Times New Roman" w:eastAsia="Calibri" w:hAnsi="Times New Roman" w:cs="Times New Roman"/>
          <w:color w:val="000000"/>
          <w:sz w:val="28"/>
          <w:szCs w:val="28"/>
        </w:rPr>
        <w:t>госуслуг</w:t>
      </w:r>
      <w:proofErr w:type="spellEnd"/>
      <w:r w:rsidRPr="001A74C6">
        <w:rPr>
          <w:rFonts w:ascii="Times New Roman" w:eastAsia="Calibri" w:hAnsi="Times New Roman" w:cs="Times New Roman"/>
          <w:color w:val="000000"/>
          <w:sz w:val="28"/>
          <w:szCs w:val="28"/>
        </w:rPr>
        <w:t>, может воспользоваться этой услугой.</w:t>
      </w:r>
    </w:p>
    <w:p w:rsidR="00337895" w:rsidRDefault="00337895" w:rsidP="0007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37895" w:rsidRDefault="00337895" w:rsidP="0007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37895" w:rsidRDefault="00337895" w:rsidP="0007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37895" w:rsidRDefault="00337895" w:rsidP="0007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4A16" w:rsidRDefault="00BB4A16" w:rsidP="0007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4A16" w:rsidRPr="003C08A7" w:rsidRDefault="00BB4A16" w:rsidP="0007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C08A7" w:rsidRPr="003C08A7" w:rsidRDefault="003C08A7" w:rsidP="0007036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08A7"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="00337895">
        <w:rPr>
          <w:rFonts w:ascii="Times New Roman" w:eastAsia="Calibri" w:hAnsi="Times New Roman" w:cs="Times New Roman"/>
          <w:sz w:val="28"/>
          <w:szCs w:val="28"/>
        </w:rPr>
        <w:t>17</w:t>
      </w:r>
    </w:p>
    <w:p w:rsidR="003C08A7" w:rsidRPr="003C08A7" w:rsidRDefault="003C08A7" w:rsidP="0007036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08A7" w:rsidRPr="003C08A7" w:rsidRDefault="003C08A7" w:rsidP="000703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8A7">
        <w:rPr>
          <w:rFonts w:ascii="Times New Roman" w:eastAsia="Calibri" w:hAnsi="Times New Roman" w:cs="Times New Roman"/>
          <w:sz w:val="28"/>
          <w:szCs w:val="28"/>
        </w:rPr>
        <w:t>Количество услуг, доступных для получения в электронном виде</w:t>
      </w:r>
    </w:p>
    <w:p w:rsidR="003C08A7" w:rsidRPr="003C08A7" w:rsidRDefault="003C08A7" w:rsidP="000703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04D953" wp14:editId="04123E2A">
            <wp:extent cx="5486400" cy="3200400"/>
            <wp:effectExtent l="0" t="0" r="0" b="0"/>
            <wp:docPr id="23" name="Диаграмма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C08A7" w:rsidRPr="003C08A7" w:rsidRDefault="003C08A7" w:rsidP="0007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08A7">
        <w:rPr>
          <w:rFonts w:ascii="Times New Roman" w:eastAsia="Calibri" w:hAnsi="Times New Roman" w:cs="Times New Roman"/>
          <w:color w:val="000000"/>
          <w:sz w:val="28"/>
          <w:szCs w:val="28"/>
        </w:rPr>
        <w:t>Наиболее востребованы у горожан следующие услуги в электронном виде:</w:t>
      </w:r>
    </w:p>
    <w:p w:rsidR="003C08A7" w:rsidRPr="003C08A7" w:rsidRDefault="003527B3" w:rsidP="000703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- </w:t>
      </w:r>
      <w:r w:rsidR="003C08A7" w:rsidRPr="003C08A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прием заявлений, постановка на учет детей в образовательные учреждения, реализующие основную общеобразовательную программу дошкольного образования (получили услугу 29 заявителей);</w:t>
      </w:r>
    </w:p>
    <w:p w:rsidR="003C08A7" w:rsidRPr="003C08A7" w:rsidRDefault="003527B3" w:rsidP="000703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- </w:t>
      </w:r>
      <w:r w:rsidR="003C08A7" w:rsidRPr="003C08A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государственная регистра</w:t>
      </w:r>
      <w:r w:rsidR="00BB4A1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ция рождения (получили услугу </w:t>
      </w:r>
      <w:r w:rsidR="003C08A7" w:rsidRPr="003C08A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5 заявителей);</w:t>
      </w:r>
    </w:p>
    <w:p w:rsidR="003C08A7" w:rsidRPr="003C08A7" w:rsidRDefault="003527B3" w:rsidP="000703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- </w:t>
      </w:r>
      <w:r w:rsidR="003C08A7" w:rsidRPr="003C08A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государственная регистрация заключения брака (получили услугу                  </w:t>
      </w:r>
      <w:r w:rsidR="00BB4A1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br/>
      </w:r>
      <w:r w:rsidR="003C08A7" w:rsidRPr="003C08A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34 заявителя).</w:t>
      </w:r>
    </w:p>
    <w:p w:rsidR="003C08A7" w:rsidRPr="003C08A7" w:rsidRDefault="003C08A7" w:rsidP="0007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08A7">
        <w:rPr>
          <w:rFonts w:ascii="Times New Roman" w:eastAsia="Calibri" w:hAnsi="Times New Roman" w:cs="Times New Roman"/>
          <w:color w:val="000000"/>
          <w:sz w:val="28"/>
          <w:szCs w:val="28"/>
        </w:rPr>
        <w:t>За 2015 год предоставлено в электронном виде 22882 услуг, в том числе 22694 услуг по предоставление информации о текущей успеваемости учащегося (в 2014 году в электронном виде было оказано всего 62 услуги).</w:t>
      </w:r>
    </w:p>
    <w:p w:rsidR="003C08A7" w:rsidRPr="003C08A7" w:rsidRDefault="003C08A7" w:rsidP="000703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08A7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популяризации среди граждан механизма получения государственных и муниципальных услуг в электронной форме в течении 2015 года проведен ряд мероприятий, направленных на повышение информированности граждан о преимуществах получения услуг электронной форме, в том числе:</w:t>
      </w:r>
    </w:p>
    <w:p w:rsidR="003C08A7" w:rsidRPr="003C08A7" w:rsidRDefault="003527B3" w:rsidP="0007036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08A7" w:rsidRPr="003C08A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день открытых дверей для граждан по вопросам предоставления услуг в электронной форме;</w:t>
      </w:r>
    </w:p>
    <w:p w:rsidR="003C08A7" w:rsidRPr="003C08A7" w:rsidRDefault="003527B3" w:rsidP="0007036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08A7" w:rsidRPr="003C08A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17 мероприятий по информированию граждан о получении государственных и муниципальных услуг в электронной форме, реализованных в рамках исполнения медиа-плана (статьи в газете</w:t>
      </w:r>
      <w:r w:rsidR="000B7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08A7" w:rsidRPr="003C08A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«</w:t>
      </w:r>
      <w:proofErr w:type="spellStart"/>
      <w:r w:rsidR="003C08A7" w:rsidRPr="003C08A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Самарово</w:t>
      </w:r>
      <w:proofErr w:type="spellEnd"/>
      <w:r w:rsidR="003C08A7" w:rsidRPr="003C08A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- Ханты-Мансийск»), интервью на телевидении, пресс-релизы на Официальном портале;</w:t>
      </w:r>
    </w:p>
    <w:p w:rsidR="003C08A7" w:rsidRPr="003C08A7" w:rsidRDefault="003527B3" w:rsidP="0007036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08A7" w:rsidRPr="003C08A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тематические родительские собрания в образовательных учреждениях по популяризации среди граждан механизма получения государственных и муниципальных услуг в электронной форме (количество привлеченных граждан </w:t>
      </w:r>
      <w:r w:rsidR="003C08A7" w:rsidRPr="003C08A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lastRenderedPageBreak/>
        <w:t>составило 6625);</w:t>
      </w:r>
    </w:p>
    <w:p w:rsidR="003C08A7" w:rsidRPr="003C08A7" w:rsidRDefault="003527B3" w:rsidP="0007036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08A7" w:rsidRPr="003C08A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размещена информация на информационных стендах и официальных сайтах образовательных организаций города о регистрации на портале </w:t>
      </w:r>
      <w:proofErr w:type="spellStart"/>
      <w:r w:rsidR="003C08A7" w:rsidRPr="003C08A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госуслуг</w:t>
      </w:r>
      <w:proofErr w:type="spellEnd"/>
      <w:r w:rsidR="003C08A7" w:rsidRPr="003C08A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а также видеоролики о возможности получении </w:t>
      </w:r>
      <w:proofErr w:type="spellStart"/>
      <w:r w:rsidR="003C08A7" w:rsidRPr="003C08A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госуслуг</w:t>
      </w:r>
      <w:proofErr w:type="spellEnd"/>
      <w:r w:rsidR="003C08A7" w:rsidRPr="003C08A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в электронной форме</w:t>
      </w:r>
      <w:r w:rsidR="003C08A7" w:rsidRPr="003C08A7">
        <w:rPr>
          <w:rFonts w:ascii="Times New Roman" w:eastAsia="Calibri" w:hAnsi="Times New Roman" w:cs="Times New Roman"/>
          <w:sz w:val="28"/>
          <w:szCs w:val="28"/>
          <w:vertAlign w:val="superscript"/>
          <w:lang w:val="x-none" w:eastAsia="ru-RU"/>
        </w:rPr>
        <w:footnoteReference w:id="2"/>
      </w:r>
      <w:r w:rsidR="003C08A7" w:rsidRPr="003C08A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:rsidR="003C08A7" w:rsidRPr="003C08A7" w:rsidRDefault="003C08A7" w:rsidP="0007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8A7">
        <w:rPr>
          <w:rFonts w:ascii="Times New Roman" w:eastAsia="Calibri" w:hAnsi="Times New Roman" w:cs="Times New Roman"/>
          <w:sz w:val="28"/>
          <w:szCs w:val="28"/>
        </w:rPr>
        <w:t xml:space="preserve">Для организации равного доступа населения, в том числе лиц                          </w:t>
      </w:r>
      <w:r w:rsidR="00BB4A16">
        <w:rPr>
          <w:rFonts w:ascii="Times New Roman" w:eastAsia="Calibri" w:hAnsi="Times New Roman" w:cs="Times New Roman"/>
          <w:sz w:val="28"/>
          <w:szCs w:val="28"/>
        </w:rPr>
        <w:br/>
      </w:r>
      <w:r w:rsidRPr="003C08A7">
        <w:rPr>
          <w:rFonts w:ascii="Times New Roman" w:eastAsia="Calibri" w:hAnsi="Times New Roman" w:cs="Times New Roman"/>
          <w:sz w:val="28"/>
          <w:szCs w:val="28"/>
        </w:rPr>
        <w:t xml:space="preserve">с ограниченными возможностями здоровья, к информации о деятельности органов местного самоуправления в 2015 году совместно с Департаментом информационных технологий Ханты-Мансийского автономного округа - Югры обеспечена работа 4 центров общественного доступа (ЦОД) </w:t>
      </w:r>
      <w:r w:rsidR="003527B3">
        <w:rPr>
          <w:rFonts w:ascii="Times New Roman" w:eastAsia="Calibri" w:hAnsi="Times New Roman" w:cs="Times New Roman"/>
          <w:sz w:val="28"/>
          <w:szCs w:val="28"/>
        </w:rPr>
        <w:br/>
      </w:r>
      <w:r w:rsidRPr="003C08A7">
        <w:rPr>
          <w:rFonts w:ascii="Times New Roman" w:eastAsia="Calibri" w:hAnsi="Times New Roman" w:cs="Times New Roman"/>
          <w:sz w:val="28"/>
          <w:szCs w:val="28"/>
        </w:rPr>
        <w:t>к информации, государственным и муниципальным услугам, предоставляемым в электронной форме на территории автономного округа.</w:t>
      </w:r>
    </w:p>
    <w:p w:rsidR="003C08A7" w:rsidRPr="003C08A7" w:rsidRDefault="003C08A7" w:rsidP="0007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8A7">
        <w:rPr>
          <w:rFonts w:ascii="Times New Roman" w:eastAsia="Calibri" w:hAnsi="Times New Roman" w:cs="Times New Roman"/>
          <w:sz w:val="28"/>
          <w:szCs w:val="28"/>
        </w:rPr>
        <w:t>В ЦОД предоставляется беспла</w:t>
      </w:r>
      <w:r w:rsidR="00BB4A16">
        <w:rPr>
          <w:rFonts w:ascii="Times New Roman" w:eastAsia="Calibri" w:hAnsi="Times New Roman" w:cs="Times New Roman"/>
          <w:sz w:val="28"/>
          <w:szCs w:val="28"/>
        </w:rPr>
        <w:t xml:space="preserve">тный доступ в сеть Интернет, </w:t>
      </w:r>
      <w:r w:rsidR="00BB4A16">
        <w:rPr>
          <w:rFonts w:ascii="Times New Roman" w:eastAsia="Calibri" w:hAnsi="Times New Roman" w:cs="Times New Roman"/>
          <w:sz w:val="28"/>
          <w:szCs w:val="28"/>
        </w:rPr>
        <w:br/>
      </w:r>
      <w:r w:rsidRPr="003C08A7">
        <w:rPr>
          <w:rFonts w:ascii="Times New Roman" w:eastAsia="Calibri" w:hAnsi="Times New Roman" w:cs="Times New Roman"/>
          <w:sz w:val="28"/>
          <w:szCs w:val="28"/>
        </w:rPr>
        <w:t>к справочно-правовым системам.</w:t>
      </w:r>
    </w:p>
    <w:p w:rsidR="003C08A7" w:rsidRPr="003C08A7" w:rsidRDefault="003C08A7" w:rsidP="0007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8A7">
        <w:rPr>
          <w:rFonts w:ascii="Times New Roman" w:eastAsia="Calibri" w:hAnsi="Times New Roman" w:cs="Times New Roman"/>
          <w:sz w:val="28"/>
          <w:szCs w:val="28"/>
        </w:rPr>
        <w:t xml:space="preserve">Помимо доступа граждан к социально значимой, правовой информации в ЦОД, а также в муниципальном казенном образовательном учреждении «Центр развития образования» осуществляется обучение жителей города </w:t>
      </w:r>
      <w:r w:rsidR="00BB4A16">
        <w:rPr>
          <w:rFonts w:ascii="Times New Roman" w:eastAsia="Calibri" w:hAnsi="Times New Roman" w:cs="Times New Roman"/>
          <w:sz w:val="28"/>
          <w:szCs w:val="28"/>
        </w:rPr>
        <w:br/>
      </w:r>
      <w:r w:rsidRPr="003C08A7">
        <w:rPr>
          <w:rFonts w:ascii="Times New Roman" w:eastAsia="Calibri" w:hAnsi="Times New Roman" w:cs="Times New Roman"/>
          <w:sz w:val="28"/>
          <w:szCs w:val="28"/>
        </w:rPr>
        <w:t>Ханты-Мансийска по программе «Электронный гражданин».</w:t>
      </w:r>
    </w:p>
    <w:p w:rsidR="003C08A7" w:rsidRPr="003C08A7" w:rsidRDefault="003C08A7" w:rsidP="0007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8A7">
        <w:rPr>
          <w:rFonts w:ascii="Times New Roman" w:eastAsia="Calibri" w:hAnsi="Times New Roman" w:cs="Times New Roman"/>
          <w:sz w:val="28"/>
          <w:szCs w:val="28"/>
        </w:rPr>
        <w:t xml:space="preserve">В 2015 году обучено 300 горожан (в 2014 году - 250 горожан) (рис. </w:t>
      </w:r>
      <w:r w:rsidR="00337895">
        <w:rPr>
          <w:rFonts w:ascii="Times New Roman" w:eastAsia="Calibri" w:hAnsi="Times New Roman" w:cs="Times New Roman"/>
          <w:sz w:val="28"/>
          <w:szCs w:val="28"/>
        </w:rPr>
        <w:t>18</w:t>
      </w:r>
      <w:r w:rsidRPr="003C08A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C08A7" w:rsidRPr="003C08A7" w:rsidRDefault="003C08A7" w:rsidP="0007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8A7" w:rsidRPr="003C08A7" w:rsidRDefault="003C08A7" w:rsidP="0007036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08A7"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="00337895">
        <w:rPr>
          <w:rFonts w:ascii="Times New Roman" w:eastAsia="Calibri" w:hAnsi="Times New Roman" w:cs="Times New Roman"/>
          <w:sz w:val="28"/>
          <w:szCs w:val="28"/>
        </w:rPr>
        <w:t>18</w:t>
      </w:r>
      <w:r w:rsidRPr="003C08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08A7" w:rsidRPr="003C08A7" w:rsidRDefault="003C08A7" w:rsidP="000703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AE79238" wp14:editId="30E15AB1">
            <wp:extent cx="5303418" cy="2896819"/>
            <wp:effectExtent l="0" t="0" r="0" b="0"/>
            <wp:docPr id="22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C08A7" w:rsidRPr="003C08A7" w:rsidRDefault="003C08A7" w:rsidP="000703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8A7">
        <w:rPr>
          <w:rFonts w:ascii="Times New Roman" w:eastAsia="Calibri" w:hAnsi="Times New Roman" w:cs="Times New Roman"/>
          <w:sz w:val="28"/>
          <w:szCs w:val="28"/>
        </w:rPr>
        <w:t>В 2015 году в Центрах подтверждена личность 221 пользователю.</w:t>
      </w:r>
    </w:p>
    <w:p w:rsidR="003C08A7" w:rsidRPr="003C08A7" w:rsidRDefault="003C08A7" w:rsidP="000703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8A7">
        <w:rPr>
          <w:rFonts w:ascii="Times New Roman" w:eastAsia="Calibri" w:hAnsi="Times New Roman" w:cs="Times New Roman"/>
          <w:sz w:val="28"/>
          <w:szCs w:val="28"/>
        </w:rPr>
        <w:t xml:space="preserve">В рейтинге органов местного самоуправления Ханты-Мансийского автономного округа – Югры по количеству подтвержденных учетных записей </w:t>
      </w:r>
      <w:r w:rsidR="00BB4A16">
        <w:rPr>
          <w:rFonts w:ascii="Times New Roman" w:eastAsia="Calibri" w:hAnsi="Times New Roman" w:cs="Times New Roman"/>
          <w:sz w:val="28"/>
          <w:szCs w:val="28"/>
        </w:rPr>
        <w:br/>
      </w:r>
      <w:r w:rsidRPr="003C08A7">
        <w:rPr>
          <w:rFonts w:ascii="Times New Roman" w:eastAsia="Calibri" w:hAnsi="Times New Roman" w:cs="Times New Roman"/>
          <w:sz w:val="28"/>
          <w:szCs w:val="28"/>
        </w:rPr>
        <w:t>в расчете на 1000 жителей Ханты-Мансийск занимает 5 место.</w:t>
      </w:r>
    </w:p>
    <w:p w:rsidR="003C08A7" w:rsidRPr="003C08A7" w:rsidRDefault="003C08A7" w:rsidP="0007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8A7">
        <w:rPr>
          <w:rFonts w:ascii="Times New Roman" w:eastAsia="Calibri" w:hAnsi="Times New Roman" w:cs="Times New Roman"/>
          <w:sz w:val="28"/>
          <w:szCs w:val="28"/>
        </w:rPr>
        <w:t xml:space="preserve">В целях организации межведомственного взаимодействия в Администрации города создан защищенный сегмент корпоративной сети (52 рабочих места </w:t>
      </w:r>
      <w:proofErr w:type="spellStart"/>
      <w:r w:rsidRPr="003C08A7">
        <w:rPr>
          <w:rFonts w:ascii="Times New Roman" w:eastAsia="Calibri" w:hAnsi="Times New Roman" w:cs="Times New Roman"/>
          <w:sz w:val="28"/>
          <w:szCs w:val="28"/>
        </w:rPr>
        <w:t>VipNET</w:t>
      </w:r>
      <w:proofErr w:type="spellEnd"/>
      <w:r w:rsidRPr="003C08A7">
        <w:rPr>
          <w:rFonts w:ascii="Times New Roman" w:eastAsia="Calibri" w:hAnsi="Times New Roman" w:cs="Times New Roman"/>
          <w:sz w:val="28"/>
          <w:szCs w:val="28"/>
        </w:rPr>
        <w:t xml:space="preserve">), который интегрирован в систему межведомственного электронного взаимодействия автономного округа, что позволяет специалистам органов </w:t>
      </w:r>
      <w:r w:rsidRPr="003C08A7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 города Ханты-Мансийска получать сведения по необходимым федеральным и региональным сервисам.</w:t>
      </w:r>
    </w:p>
    <w:p w:rsidR="003C08A7" w:rsidRPr="003C08A7" w:rsidRDefault="003C08A7" w:rsidP="0007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8A7">
        <w:rPr>
          <w:rFonts w:ascii="Times New Roman" w:eastAsia="Calibri" w:hAnsi="Times New Roman" w:cs="Times New Roman"/>
          <w:sz w:val="28"/>
          <w:szCs w:val="28"/>
        </w:rPr>
        <w:t xml:space="preserve">Для исполнения требований законодательства Российской Федерации </w:t>
      </w:r>
      <w:r w:rsidR="00BB4A16">
        <w:rPr>
          <w:rFonts w:ascii="Times New Roman" w:eastAsia="Calibri" w:hAnsi="Times New Roman" w:cs="Times New Roman"/>
          <w:sz w:val="28"/>
          <w:szCs w:val="28"/>
        </w:rPr>
        <w:br/>
      </w:r>
      <w:r w:rsidRPr="003C08A7">
        <w:rPr>
          <w:rFonts w:ascii="Times New Roman" w:eastAsia="Calibri" w:hAnsi="Times New Roman" w:cs="Times New Roman"/>
          <w:sz w:val="28"/>
          <w:szCs w:val="28"/>
        </w:rPr>
        <w:t xml:space="preserve">по обеспечению сохранности обрабатываемых персональных данных граждан </w:t>
      </w:r>
      <w:r w:rsidR="00BB4A16">
        <w:rPr>
          <w:rFonts w:ascii="Times New Roman" w:eastAsia="Calibri" w:hAnsi="Times New Roman" w:cs="Times New Roman"/>
          <w:sz w:val="28"/>
          <w:szCs w:val="28"/>
        </w:rPr>
        <w:br/>
      </w:r>
      <w:r w:rsidRPr="003C08A7">
        <w:rPr>
          <w:rFonts w:ascii="Times New Roman" w:eastAsia="Calibri" w:hAnsi="Times New Roman" w:cs="Times New Roman"/>
          <w:sz w:val="28"/>
          <w:szCs w:val="28"/>
        </w:rPr>
        <w:t xml:space="preserve">и юридических лиц в органах местного самоуправления окружной столицы в 2015 году проведен аудит информационных систем, в которых обрабатываются персональные данные. По результатам аудита реализуются мероприятия по повышению защищенности обрабатываемой информации. </w:t>
      </w:r>
    </w:p>
    <w:p w:rsidR="003C08A7" w:rsidRPr="003C08A7" w:rsidRDefault="003C08A7" w:rsidP="000703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8A7">
        <w:rPr>
          <w:rFonts w:ascii="Times New Roman" w:eastAsia="Calibri" w:hAnsi="Times New Roman" w:cs="Times New Roman"/>
          <w:sz w:val="28"/>
          <w:szCs w:val="28"/>
        </w:rPr>
        <w:t>Во исполнение требований Федерального закона №210-ФЗ «Об организации предоставления государственных и муниципальных услуг» (далее - Федеральный закон №210-ФЗ) сотрудниками органов Администрации города Ханты-Мансийска в 2015 году направлено 12952 межведомственных запроса, это на 23% больше, чем в 2014 году (10482). Рост общего числа межведомственных запросов позволяет сделать вывод, что количество документов, предоставляемых заявителем по собственной инициативе, уменьшается, и что данные документы (сведения) запрашиваются сотрудниками органов Администрации города Ханты-Мансийска в иных органах государственной власти (органах местного самоуправления).</w:t>
      </w:r>
    </w:p>
    <w:p w:rsidR="003C08A7" w:rsidRPr="003C08A7" w:rsidRDefault="003C08A7" w:rsidP="000703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8A7">
        <w:rPr>
          <w:rFonts w:ascii="Times New Roman" w:eastAsia="Calibri" w:hAnsi="Times New Roman" w:cs="Times New Roman"/>
          <w:sz w:val="28"/>
          <w:szCs w:val="28"/>
        </w:rPr>
        <w:t>В 2015 году по сравнению с анал</w:t>
      </w:r>
      <w:r w:rsidR="00BB4A16">
        <w:rPr>
          <w:rFonts w:ascii="Times New Roman" w:eastAsia="Calibri" w:hAnsi="Times New Roman" w:cs="Times New Roman"/>
          <w:sz w:val="28"/>
          <w:szCs w:val="28"/>
        </w:rPr>
        <w:t xml:space="preserve">огичным периодом прошлого года </w:t>
      </w:r>
      <w:r w:rsidRPr="003C08A7">
        <w:rPr>
          <w:rFonts w:ascii="Times New Roman" w:eastAsia="Calibri" w:hAnsi="Times New Roman" w:cs="Times New Roman"/>
          <w:sz w:val="28"/>
          <w:szCs w:val="28"/>
        </w:rPr>
        <w:t xml:space="preserve">на 30% уменьшилось количество межведомственных запросов, направленных на бумажных носителях (4445 запроса в 2015 году и 6244 запроса в 2014 году). </w:t>
      </w:r>
    </w:p>
    <w:p w:rsidR="00967AA2" w:rsidRDefault="003C08A7" w:rsidP="00967AA2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8A7">
        <w:rPr>
          <w:rFonts w:ascii="Times New Roman" w:eastAsia="Calibri" w:hAnsi="Times New Roman" w:cs="Times New Roman"/>
          <w:sz w:val="28"/>
          <w:szCs w:val="28"/>
        </w:rPr>
        <w:t>При этом количество запросов, направленных посредством системы межведомственного электронного взаимодействия</w:t>
      </w:r>
      <w:r w:rsidRPr="003C08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C08A7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352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08A7">
        <w:rPr>
          <w:rFonts w:ascii="Times New Roman" w:eastAsia="Calibri" w:hAnsi="Times New Roman" w:cs="Times New Roman"/>
          <w:sz w:val="28"/>
          <w:szCs w:val="28"/>
        </w:rPr>
        <w:t>-</w:t>
      </w:r>
      <w:r w:rsidR="00352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08A7">
        <w:rPr>
          <w:rFonts w:ascii="Times New Roman" w:eastAsia="Calibri" w:hAnsi="Times New Roman" w:cs="Times New Roman"/>
          <w:sz w:val="28"/>
          <w:szCs w:val="28"/>
        </w:rPr>
        <w:t>СМЭВ),</w:t>
      </w:r>
      <w:r w:rsidRPr="003C08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C08A7">
        <w:rPr>
          <w:rFonts w:ascii="Times New Roman" w:eastAsia="Calibri" w:hAnsi="Times New Roman" w:cs="Times New Roman"/>
          <w:sz w:val="28"/>
          <w:szCs w:val="28"/>
        </w:rPr>
        <w:t xml:space="preserve">увеличилось более чем на 60% </w:t>
      </w:r>
      <w:r w:rsidR="00967AA2">
        <w:rPr>
          <w:rFonts w:ascii="Times New Roman" w:eastAsia="Calibri" w:hAnsi="Times New Roman" w:cs="Times New Roman"/>
          <w:sz w:val="28"/>
          <w:szCs w:val="28"/>
        </w:rPr>
        <w:t>(рис. 19</w:t>
      </w:r>
      <w:r w:rsidR="00967AA2" w:rsidRPr="003C08A7">
        <w:rPr>
          <w:rFonts w:ascii="Times New Roman" w:eastAsia="Calibri" w:hAnsi="Times New Roman" w:cs="Times New Roman"/>
          <w:sz w:val="28"/>
          <w:szCs w:val="28"/>
        </w:rPr>
        <w:t>)</w:t>
      </w:r>
      <w:r w:rsidR="00967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08A7">
        <w:rPr>
          <w:rFonts w:ascii="Times New Roman" w:eastAsia="Calibri" w:hAnsi="Times New Roman" w:cs="Times New Roman"/>
          <w:sz w:val="28"/>
          <w:szCs w:val="28"/>
        </w:rPr>
        <w:t xml:space="preserve">в сравнении с 2014 годом (6821 запрос в 2015 году </w:t>
      </w:r>
      <w:r w:rsidR="003527B3">
        <w:rPr>
          <w:rFonts w:ascii="Times New Roman" w:eastAsia="Calibri" w:hAnsi="Times New Roman" w:cs="Times New Roman"/>
          <w:sz w:val="28"/>
          <w:szCs w:val="28"/>
        </w:rPr>
        <w:br/>
      </w:r>
      <w:r w:rsidRPr="003C08A7">
        <w:rPr>
          <w:rFonts w:ascii="Times New Roman" w:eastAsia="Calibri" w:hAnsi="Times New Roman" w:cs="Times New Roman"/>
          <w:sz w:val="28"/>
          <w:szCs w:val="28"/>
        </w:rPr>
        <w:t>и 4174 запроса в 2014 году).</w:t>
      </w:r>
    </w:p>
    <w:p w:rsidR="003807BD" w:rsidRPr="003C08A7" w:rsidRDefault="003807BD" w:rsidP="00967AA2">
      <w:pPr>
        <w:widowControl w:val="0"/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08A7"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</w:p>
    <w:p w:rsidR="003807BD" w:rsidRDefault="003807BD" w:rsidP="003807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6CF8291" wp14:editId="01D0AA7A">
            <wp:extent cx="5410200" cy="2817495"/>
            <wp:effectExtent l="0" t="0" r="0" b="1905"/>
            <wp:docPr id="21" name="Диаграмма 21" descr="Название: Межведомственное информационное взаимодейств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C08A7" w:rsidRPr="003C08A7" w:rsidRDefault="003C08A7" w:rsidP="000703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8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08A7" w:rsidRPr="003C08A7" w:rsidRDefault="003C08A7" w:rsidP="000703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8A7">
        <w:rPr>
          <w:rFonts w:ascii="Times New Roman" w:eastAsia="Calibri" w:hAnsi="Times New Roman" w:cs="Times New Roman"/>
          <w:sz w:val="28"/>
          <w:szCs w:val="28"/>
        </w:rPr>
        <w:t>В целях исполнения требований Федерального закона №210-ФЗ органами Администрации года Ханты-Мансийска в 2015 году предоставлено 2883</w:t>
      </w:r>
      <w:r w:rsidR="00352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08A7">
        <w:rPr>
          <w:rFonts w:ascii="Times New Roman" w:eastAsia="Calibri" w:hAnsi="Times New Roman" w:cs="Times New Roman"/>
          <w:sz w:val="28"/>
          <w:szCs w:val="28"/>
        </w:rPr>
        <w:t>ответа</w:t>
      </w:r>
      <w:r w:rsidRPr="003C08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C08A7">
        <w:rPr>
          <w:rFonts w:ascii="Times New Roman" w:eastAsia="Calibri" w:hAnsi="Times New Roman" w:cs="Times New Roman"/>
          <w:sz w:val="28"/>
          <w:szCs w:val="28"/>
        </w:rPr>
        <w:t>на поступившие от исполнительных органов государственной власти межведомственные запросы (в 2014 году - 4498 ответов).</w:t>
      </w:r>
    </w:p>
    <w:p w:rsidR="003C08A7" w:rsidRDefault="003C08A7" w:rsidP="003807BD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C08A7">
        <w:rPr>
          <w:rFonts w:ascii="Times New Roman" w:eastAsia="Calibri" w:hAnsi="Times New Roman" w:cs="Times New Roman"/>
          <w:sz w:val="28"/>
          <w:szCs w:val="28"/>
        </w:rPr>
        <w:lastRenderedPageBreak/>
        <w:t>При этом в текущем году в большинстве случаев ответы предоставлялись не на бумажных носителях, а в электронно</w:t>
      </w:r>
      <w:r w:rsidR="00337895">
        <w:rPr>
          <w:rFonts w:ascii="Times New Roman" w:eastAsia="Calibri" w:hAnsi="Times New Roman" w:cs="Times New Roman"/>
          <w:sz w:val="28"/>
          <w:szCs w:val="28"/>
        </w:rPr>
        <w:t xml:space="preserve">м виде, посредством СМЭВ </w:t>
      </w:r>
    </w:p>
    <w:p w:rsidR="00512E7A" w:rsidRPr="00512E7A" w:rsidRDefault="00161320" w:rsidP="00512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512E7A" w:rsidRPr="00512E7A" w:rsidSect="00AA7E3E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76" w:rsidRDefault="00720E76" w:rsidP="00AD59E0">
      <w:pPr>
        <w:spacing w:after="0" w:line="240" w:lineRule="auto"/>
      </w:pPr>
      <w:r>
        <w:separator/>
      </w:r>
    </w:p>
  </w:endnote>
  <w:endnote w:type="continuationSeparator" w:id="0">
    <w:p w:rsidR="00720E76" w:rsidRDefault="00720E76" w:rsidP="00AD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5102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71C6E" w:rsidRPr="00AD59E0" w:rsidRDefault="00671C6E" w:rsidP="00AD59E0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AD59E0">
          <w:rPr>
            <w:rFonts w:ascii="Times New Roman" w:hAnsi="Times New Roman" w:cs="Times New Roman"/>
            <w:sz w:val="28"/>
          </w:rPr>
          <w:fldChar w:fldCharType="begin"/>
        </w:r>
        <w:r w:rsidRPr="00AD59E0">
          <w:rPr>
            <w:rFonts w:ascii="Times New Roman" w:hAnsi="Times New Roman" w:cs="Times New Roman"/>
            <w:sz w:val="28"/>
          </w:rPr>
          <w:instrText>PAGE   \* MERGEFORMAT</w:instrText>
        </w:r>
        <w:r w:rsidRPr="00AD59E0">
          <w:rPr>
            <w:rFonts w:ascii="Times New Roman" w:hAnsi="Times New Roman" w:cs="Times New Roman"/>
            <w:sz w:val="28"/>
          </w:rPr>
          <w:fldChar w:fldCharType="separate"/>
        </w:r>
        <w:r w:rsidR="004F7A7E">
          <w:rPr>
            <w:rFonts w:ascii="Times New Roman" w:hAnsi="Times New Roman" w:cs="Times New Roman"/>
            <w:noProof/>
            <w:sz w:val="28"/>
          </w:rPr>
          <w:t>32</w:t>
        </w:r>
        <w:r w:rsidRPr="00AD59E0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76" w:rsidRDefault="00720E76" w:rsidP="00AD59E0">
      <w:pPr>
        <w:spacing w:after="0" w:line="240" w:lineRule="auto"/>
      </w:pPr>
      <w:r>
        <w:separator/>
      </w:r>
    </w:p>
  </w:footnote>
  <w:footnote w:type="continuationSeparator" w:id="0">
    <w:p w:rsidR="00720E76" w:rsidRDefault="00720E76" w:rsidP="00AD59E0">
      <w:pPr>
        <w:spacing w:after="0" w:line="240" w:lineRule="auto"/>
      </w:pPr>
      <w:r>
        <w:continuationSeparator/>
      </w:r>
    </w:p>
  </w:footnote>
  <w:footnote w:id="1">
    <w:p w:rsidR="00671C6E" w:rsidRDefault="00671C6E" w:rsidP="00ED543A">
      <w:pPr>
        <w:pStyle w:val="ae"/>
      </w:pPr>
      <w:r>
        <w:rPr>
          <w:rStyle w:val="af0"/>
        </w:rPr>
        <w:footnoteRef/>
      </w:r>
      <w:r>
        <w:t xml:space="preserve"> </w:t>
      </w:r>
      <w:r w:rsidRPr="00D714F6">
        <w:rPr>
          <w:rFonts w:ascii="Times New Roman" w:hAnsi="Times New Roman"/>
        </w:rPr>
        <w:t>http://open-data.admhmansy.ru/</w:t>
      </w:r>
    </w:p>
  </w:footnote>
  <w:footnote w:id="2">
    <w:p w:rsidR="00671C6E" w:rsidRPr="00706CB8" w:rsidRDefault="00671C6E" w:rsidP="003C08A7">
      <w:pPr>
        <w:pStyle w:val="ae"/>
      </w:pPr>
      <w:r>
        <w:rPr>
          <w:rStyle w:val="af0"/>
        </w:rPr>
        <w:footnoteRef/>
      </w:r>
      <w:r>
        <w:t xml:space="preserve"> </w:t>
      </w:r>
      <w:proofErr w:type="gramStart"/>
      <w:r w:rsidRPr="00706CB8">
        <w:rPr>
          <w:rFonts w:ascii="Times New Roman" w:hAnsi="Times New Roman"/>
          <w:lang w:eastAsia="ru-RU"/>
        </w:rPr>
        <w:t>Например</w:t>
      </w:r>
      <w:proofErr w:type="gramEnd"/>
      <w:r w:rsidRPr="00706CB8">
        <w:rPr>
          <w:rFonts w:ascii="Times New Roman" w:hAnsi="Times New Roman"/>
          <w:lang w:eastAsia="ru-RU"/>
        </w:rPr>
        <w:t xml:space="preserve"> </w:t>
      </w:r>
      <w:r w:rsidRPr="00706CB8">
        <w:rPr>
          <w:rFonts w:ascii="Times New Roman" w:hAnsi="Times New Roman"/>
        </w:rPr>
        <w:t>http://xn--1-7sbirdczi9n.xn--p1ai/</w:t>
      </w:r>
      <w:proofErr w:type="spellStart"/>
      <w:r w:rsidRPr="00706CB8">
        <w:rPr>
          <w:rFonts w:ascii="Times New Roman" w:hAnsi="Times New Roman"/>
        </w:rPr>
        <w:t>directions</w:t>
      </w:r>
      <w:proofErr w:type="spellEnd"/>
      <w:r w:rsidRPr="00706CB8">
        <w:rPr>
          <w:rFonts w:ascii="Times New Roman" w:hAnsi="Times New Roman"/>
        </w:rPr>
        <w:t>/napravlenie-3/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3E32"/>
    <w:multiLevelType w:val="hybridMultilevel"/>
    <w:tmpl w:val="6DF24194"/>
    <w:lvl w:ilvl="0" w:tplc="D25EE35A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255B27"/>
    <w:multiLevelType w:val="multilevel"/>
    <w:tmpl w:val="403E16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4584335"/>
    <w:multiLevelType w:val="hybridMultilevel"/>
    <w:tmpl w:val="30A6AF56"/>
    <w:lvl w:ilvl="0" w:tplc="FDC65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450B7"/>
    <w:multiLevelType w:val="hybridMultilevel"/>
    <w:tmpl w:val="B98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96EA7"/>
    <w:multiLevelType w:val="hybridMultilevel"/>
    <w:tmpl w:val="0892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C23FE"/>
    <w:multiLevelType w:val="hybridMultilevel"/>
    <w:tmpl w:val="BB30AA82"/>
    <w:lvl w:ilvl="0" w:tplc="E1AC4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89"/>
    <w:rsid w:val="00000BCF"/>
    <w:rsid w:val="00002985"/>
    <w:rsid w:val="00007977"/>
    <w:rsid w:val="0001314C"/>
    <w:rsid w:val="000131A4"/>
    <w:rsid w:val="00014C2D"/>
    <w:rsid w:val="00017F00"/>
    <w:rsid w:val="00026C85"/>
    <w:rsid w:val="00046967"/>
    <w:rsid w:val="00056013"/>
    <w:rsid w:val="000563C8"/>
    <w:rsid w:val="00062FC5"/>
    <w:rsid w:val="0007036C"/>
    <w:rsid w:val="000722F0"/>
    <w:rsid w:val="000768CE"/>
    <w:rsid w:val="00096798"/>
    <w:rsid w:val="000A1A58"/>
    <w:rsid w:val="000B0140"/>
    <w:rsid w:val="000B6666"/>
    <w:rsid w:val="000B761F"/>
    <w:rsid w:val="000C2558"/>
    <w:rsid w:val="000E19CD"/>
    <w:rsid w:val="000E1A87"/>
    <w:rsid w:val="000F4A28"/>
    <w:rsid w:val="00106947"/>
    <w:rsid w:val="00112204"/>
    <w:rsid w:val="00112E9C"/>
    <w:rsid w:val="0011768C"/>
    <w:rsid w:val="0012684E"/>
    <w:rsid w:val="00134E43"/>
    <w:rsid w:val="0014068E"/>
    <w:rsid w:val="00144760"/>
    <w:rsid w:val="001612EE"/>
    <w:rsid w:val="00161320"/>
    <w:rsid w:val="001754F3"/>
    <w:rsid w:val="001772BD"/>
    <w:rsid w:val="00182243"/>
    <w:rsid w:val="0019483D"/>
    <w:rsid w:val="001A25E7"/>
    <w:rsid w:val="001A74C6"/>
    <w:rsid w:val="001B066B"/>
    <w:rsid w:val="001B3AEC"/>
    <w:rsid w:val="001B4CDD"/>
    <w:rsid w:val="001C2450"/>
    <w:rsid w:val="001D38A9"/>
    <w:rsid w:val="001D5512"/>
    <w:rsid w:val="00207D80"/>
    <w:rsid w:val="00233B72"/>
    <w:rsid w:val="00265B98"/>
    <w:rsid w:val="00271B9E"/>
    <w:rsid w:val="002846F8"/>
    <w:rsid w:val="00285349"/>
    <w:rsid w:val="00285D44"/>
    <w:rsid w:val="00286AEA"/>
    <w:rsid w:val="00287B67"/>
    <w:rsid w:val="002D2E23"/>
    <w:rsid w:val="002D5884"/>
    <w:rsid w:val="002D7328"/>
    <w:rsid w:val="002F2988"/>
    <w:rsid w:val="002F2C4E"/>
    <w:rsid w:val="002F5347"/>
    <w:rsid w:val="0030254B"/>
    <w:rsid w:val="00304DE2"/>
    <w:rsid w:val="0030507E"/>
    <w:rsid w:val="003131CD"/>
    <w:rsid w:val="00313FFC"/>
    <w:rsid w:val="00321AED"/>
    <w:rsid w:val="00324B5E"/>
    <w:rsid w:val="00337895"/>
    <w:rsid w:val="00341BAC"/>
    <w:rsid w:val="00350F0F"/>
    <w:rsid w:val="003511EA"/>
    <w:rsid w:val="003527B3"/>
    <w:rsid w:val="0035520A"/>
    <w:rsid w:val="003556B4"/>
    <w:rsid w:val="00360D72"/>
    <w:rsid w:val="00366DA9"/>
    <w:rsid w:val="003747AB"/>
    <w:rsid w:val="003807BD"/>
    <w:rsid w:val="0038198C"/>
    <w:rsid w:val="00383796"/>
    <w:rsid w:val="003A02A6"/>
    <w:rsid w:val="003C08A7"/>
    <w:rsid w:val="003C42C0"/>
    <w:rsid w:val="003D2F8B"/>
    <w:rsid w:val="003D6753"/>
    <w:rsid w:val="003F716E"/>
    <w:rsid w:val="003F73FA"/>
    <w:rsid w:val="004003F1"/>
    <w:rsid w:val="00405629"/>
    <w:rsid w:val="0041179E"/>
    <w:rsid w:val="00433FA8"/>
    <w:rsid w:val="00436733"/>
    <w:rsid w:val="00450197"/>
    <w:rsid w:val="0045259F"/>
    <w:rsid w:val="00462AAD"/>
    <w:rsid w:val="0048418E"/>
    <w:rsid w:val="004850BB"/>
    <w:rsid w:val="004877BA"/>
    <w:rsid w:val="00493095"/>
    <w:rsid w:val="004A0AD7"/>
    <w:rsid w:val="004A3BC0"/>
    <w:rsid w:val="004B7A3B"/>
    <w:rsid w:val="004E535F"/>
    <w:rsid w:val="004E5E83"/>
    <w:rsid w:val="004E6D11"/>
    <w:rsid w:val="004F23AD"/>
    <w:rsid w:val="004F2B70"/>
    <w:rsid w:val="004F7A7E"/>
    <w:rsid w:val="004F7E2F"/>
    <w:rsid w:val="00503D37"/>
    <w:rsid w:val="00512E7A"/>
    <w:rsid w:val="00530AA7"/>
    <w:rsid w:val="00532267"/>
    <w:rsid w:val="00546F02"/>
    <w:rsid w:val="0056349D"/>
    <w:rsid w:val="0057242B"/>
    <w:rsid w:val="0057290F"/>
    <w:rsid w:val="005858B3"/>
    <w:rsid w:val="005917B5"/>
    <w:rsid w:val="00592909"/>
    <w:rsid w:val="00593E5C"/>
    <w:rsid w:val="005A123F"/>
    <w:rsid w:val="005C0A64"/>
    <w:rsid w:val="005D11FB"/>
    <w:rsid w:val="005D169B"/>
    <w:rsid w:val="005D67D6"/>
    <w:rsid w:val="005E6E7B"/>
    <w:rsid w:val="00604600"/>
    <w:rsid w:val="00636547"/>
    <w:rsid w:val="006403E6"/>
    <w:rsid w:val="00661691"/>
    <w:rsid w:val="006657C3"/>
    <w:rsid w:val="00671C6E"/>
    <w:rsid w:val="006736C6"/>
    <w:rsid w:val="00677B3D"/>
    <w:rsid w:val="006B4369"/>
    <w:rsid w:val="006C43F4"/>
    <w:rsid w:val="006C6AD3"/>
    <w:rsid w:val="006E34B2"/>
    <w:rsid w:val="006F18BA"/>
    <w:rsid w:val="006F2BFF"/>
    <w:rsid w:val="006F7E88"/>
    <w:rsid w:val="007008F0"/>
    <w:rsid w:val="007114B5"/>
    <w:rsid w:val="00711F3B"/>
    <w:rsid w:val="00712A04"/>
    <w:rsid w:val="00720E76"/>
    <w:rsid w:val="007321CE"/>
    <w:rsid w:val="00732810"/>
    <w:rsid w:val="00754267"/>
    <w:rsid w:val="00757232"/>
    <w:rsid w:val="00782EFB"/>
    <w:rsid w:val="00784396"/>
    <w:rsid w:val="00790B66"/>
    <w:rsid w:val="007948DE"/>
    <w:rsid w:val="0079738C"/>
    <w:rsid w:val="007A684C"/>
    <w:rsid w:val="007B0404"/>
    <w:rsid w:val="007B2093"/>
    <w:rsid w:val="007C5859"/>
    <w:rsid w:val="007C6C06"/>
    <w:rsid w:val="007E26AC"/>
    <w:rsid w:val="007E60D9"/>
    <w:rsid w:val="008058CB"/>
    <w:rsid w:val="00811B56"/>
    <w:rsid w:val="00812A56"/>
    <w:rsid w:val="0081617C"/>
    <w:rsid w:val="0083145F"/>
    <w:rsid w:val="008551E9"/>
    <w:rsid w:val="00867C40"/>
    <w:rsid w:val="0087375B"/>
    <w:rsid w:val="00891BC2"/>
    <w:rsid w:val="008944B4"/>
    <w:rsid w:val="008A49E5"/>
    <w:rsid w:val="008B173C"/>
    <w:rsid w:val="008B3FF7"/>
    <w:rsid w:val="008B4118"/>
    <w:rsid w:val="008B6B44"/>
    <w:rsid w:val="008D6DF6"/>
    <w:rsid w:val="008E71BE"/>
    <w:rsid w:val="008E774F"/>
    <w:rsid w:val="008F718D"/>
    <w:rsid w:val="00903D52"/>
    <w:rsid w:val="0090499A"/>
    <w:rsid w:val="00910DA5"/>
    <w:rsid w:val="00916373"/>
    <w:rsid w:val="009204DF"/>
    <w:rsid w:val="009218C9"/>
    <w:rsid w:val="00943B64"/>
    <w:rsid w:val="00962DA0"/>
    <w:rsid w:val="00967AA2"/>
    <w:rsid w:val="00993AC0"/>
    <w:rsid w:val="00995B07"/>
    <w:rsid w:val="009A2C16"/>
    <w:rsid w:val="009A7EFD"/>
    <w:rsid w:val="009C3902"/>
    <w:rsid w:val="009D109F"/>
    <w:rsid w:val="009F31D9"/>
    <w:rsid w:val="009F66BD"/>
    <w:rsid w:val="009F724D"/>
    <w:rsid w:val="00A1716F"/>
    <w:rsid w:val="00A25EF2"/>
    <w:rsid w:val="00A34582"/>
    <w:rsid w:val="00A367AC"/>
    <w:rsid w:val="00A44462"/>
    <w:rsid w:val="00A60CFF"/>
    <w:rsid w:val="00A90272"/>
    <w:rsid w:val="00AA08B8"/>
    <w:rsid w:val="00AA5AD9"/>
    <w:rsid w:val="00AA7E3E"/>
    <w:rsid w:val="00AB1BE0"/>
    <w:rsid w:val="00AB29CD"/>
    <w:rsid w:val="00AD59E0"/>
    <w:rsid w:val="00AE34DB"/>
    <w:rsid w:val="00AE547D"/>
    <w:rsid w:val="00B03809"/>
    <w:rsid w:val="00B168AE"/>
    <w:rsid w:val="00B174B8"/>
    <w:rsid w:val="00B2228A"/>
    <w:rsid w:val="00B24B04"/>
    <w:rsid w:val="00B25AD3"/>
    <w:rsid w:val="00B3207F"/>
    <w:rsid w:val="00B60ABC"/>
    <w:rsid w:val="00B65212"/>
    <w:rsid w:val="00B6659D"/>
    <w:rsid w:val="00B84BF8"/>
    <w:rsid w:val="00BA1EBA"/>
    <w:rsid w:val="00BB4A16"/>
    <w:rsid w:val="00BD4D65"/>
    <w:rsid w:val="00BE1D8A"/>
    <w:rsid w:val="00BE232E"/>
    <w:rsid w:val="00BE476E"/>
    <w:rsid w:val="00C1069E"/>
    <w:rsid w:val="00C14DD1"/>
    <w:rsid w:val="00C16D72"/>
    <w:rsid w:val="00C34C8E"/>
    <w:rsid w:val="00C401BD"/>
    <w:rsid w:val="00C45265"/>
    <w:rsid w:val="00C51049"/>
    <w:rsid w:val="00C524EF"/>
    <w:rsid w:val="00C5694B"/>
    <w:rsid w:val="00C6042B"/>
    <w:rsid w:val="00C63597"/>
    <w:rsid w:val="00C64FE2"/>
    <w:rsid w:val="00C726C9"/>
    <w:rsid w:val="00C73657"/>
    <w:rsid w:val="00C74849"/>
    <w:rsid w:val="00C7516F"/>
    <w:rsid w:val="00C76089"/>
    <w:rsid w:val="00C81A6B"/>
    <w:rsid w:val="00C835BA"/>
    <w:rsid w:val="00CA0EE3"/>
    <w:rsid w:val="00CD5B65"/>
    <w:rsid w:val="00D22B18"/>
    <w:rsid w:val="00D2461F"/>
    <w:rsid w:val="00D355FD"/>
    <w:rsid w:val="00D60393"/>
    <w:rsid w:val="00D6637D"/>
    <w:rsid w:val="00D72A25"/>
    <w:rsid w:val="00D747C7"/>
    <w:rsid w:val="00D804E4"/>
    <w:rsid w:val="00D93751"/>
    <w:rsid w:val="00D9410A"/>
    <w:rsid w:val="00D95B29"/>
    <w:rsid w:val="00DA74BC"/>
    <w:rsid w:val="00DC0C43"/>
    <w:rsid w:val="00DC0C9D"/>
    <w:rsid w:val="00DD0384"/>
    <w:rsid w:val="00DE264A"/>
    <w:rsid w:val="00DF6119"/>
    <w:rsid w:val="00E06936"/>
    <w:rsid w:val="00E14388"/>
    <w:rsid w:val="00E157E8"/>
    <w:rsid w:val="00E21BB8"/>
    <w:rsid w:val="00E23F9D"/>
    <w:rsid w:val="00E40D68"/>
    <w:rsid w:val="00E413CE"/>
    <w:rsid w:val="00E51DF0"/>
    <w:rsid w:val="00E57359"/>
    <w:rsid w:val="00E630B8"/>
    <w:rsid w:val="00E6715B"/>
    <w:rsid w:val="00E73E34"/>
    <w:rsid w:val="00E93160"/>
    <w:rsid w:val="00EA0058"/>
    <w:rsid w:val="00EA0517"/>
    <w:rsid w:val="00EB11DA"/>
    <w:rsid w:val="00EB4435"/>
    <w:rsid w:val="00EC739D"/>
    <w:rsid w:val="00ED543A"/>
    <w:rsid w:val="00ED5E9A"/>
    <w:rsid w:val="00EE15EF"/>
    <w:rsid w:val="00EF1B9B"/>
    <w:rsid w:val="00EF264C"/>
    <w:rsid w:val="00EF4CEF"/>
    <w:rsid w:val="00EF64D2"/>
    <w:rsid w:val="00F35587"/>
    <w:rsid w:val="00F37FF9"/>
    <w:rsid w:val="00F42FBA"/>
    <w:rsid w:val="00F514CB"/>
    <w:rsid w:val="00F5231E"/>
    <w:rsid w:val="00F64C66"/>
    <w:rsid w:val="00F874DE"/>
    <w:rsid w:val="00F932B4"/>
    <w:rsid w:val="00FB3CF6"/>
    <w:rsid w:val="00FC1094"/>
    <w:rsid w:val="00FC133B"/>
    <w:rsid w:val="00FC488B"/>
    <w:rsid w:val="00FC6D12"/>
    <w:rsid w:val="00FD05FA"/>
    <w:rsid w:val="00FD18A8"/>
    <w:rsid w:val="00FD4E52"/>
    <w:rsid w:val="00FD5029"/>
    <w:rsid w:val="00FE0342"/>
    <w:rsid w:val="00FF194F"/>
    <w:rsid w:val="00FF307B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EA"/>
  </w:style>
  <w:style w:type="paragraph" w:styleId="1">
    <w:name w:val="heading 1"/>
    <w:basedOn w:val="a"/>
    <w:next w:val="a"/>
    <w:link w:val="10"/>
    <w:uiPriority w:val="9"/>
    <w:qFormat/>
    <w:rsid w:val="00EB4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5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1EA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131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D5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59E0"/>
  </w:style>
  <w:style w:type="paragraph" w:styleId="a8">
    <w:name w:val="footer"/>
    <w:basedOn w:val="a"/>
    <w:link w:val="a9"/>
    <w:uiPriority w:val="99"/>
    <w:unhideWhenUsed/>
    <w:rsid w:val="00AD5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59E0"/>
  </w:style>
  <w:style w:type="paragraph" w:styleId="aa">
    <w:name w:val="List Paragraph"/>
    <w:basedOn w:val="a"/>
    <w:uiPriority w:val="34"/>
    <w:qFormat/>
    <w:rsid w:val="009218C9"/>
    <w:pPr>
      <w:ind w:left="720"/>
      <w:contextualSpacing/>
    </w:pPr>
  </w:style>
  <w:style w:type="paragraph" w:styleId="ab">
    <w:name w:val="Body Text"/>
    <w:basedOn w:val="a"/>
    <w:link w:val="ac"/>
    <w:unhideWhenUsed/>
    <w:rsid w:val="003C42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Основной текст Знак"/>
    <w:basedOn w:val="a0"/>
    <w:link w:val="ab"/>
    <w:rsid w:val="003C42C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d">
    <w:name w:val="FollowedHyperlink"/>
    <w:basedOn w:val="a0"/>
    <w:uiPriority w:val="99"/>
    <w:semiHidden/>
    <w:unhideWhenUsed/>
    <w:rsid w:val="008D6DF6"/>
    <w:rPr>
      <w:color w:val="800080"/>
      <w:u w:val="single"/>
    </w:rPr>
  </w:style>
  <w:style w:type="paragraph" w:customStyle="1" w:styleId="xl77">
    <w:name w:val="xl77"/>
    <w:basedOn w:val="a"/>
    <w:rsid w:val="008D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D6D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8D6D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8D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8D6D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8D6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8D6D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8D6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8D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8D6DF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D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8D6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8D6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D6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8D6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8D6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D6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5601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56013"/>
    <w:rPr>
      <w:sz w:val="20"/>
      <w:szCs w:val="20"/>
    </w:rPr>
  </w:style>
  <w:style w:type="character" w:styleId="af0">
    <w:name w:val="footnote reference"/>
    <w:aliases w:val="Знак сноски 1,Знак сноски-FN,Ciae niinee-FN,SUPERS,Referencia nota al pie,fr,Used by Word for Help footnote symbols"/>
    <w:uiPriority w:val="99"/>
    <w:unhideWhenUsed/>
    <w:rsid w:val="00056013"/>
    <w:rPr>
      <w:rFonts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9410A"/>
  </w:style>
  <w:style w:type="paragraph" w:customStyle="1" w:styleId="xl94">
    <w:name w:val="xl94"/>
    <w:basedOn w:val="a"/>
    <w:rsid w:val="00D94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94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EA"/>
  </w:style>
  <w:style w:type="paragraph" w:styleId="1">
    <w:name w:val="heading 1"/>
    <w:basedOn w:val="a"/>
    <w:next w:val="a"/>
    <w:link w:val="10"/>
    <w:uiPriority w:val="9"/>
    <w:qFormat/>
    <w:rsid w:val="00EB4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5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1EA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131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D5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59E0"/>
  </w:style>
  <w:style w:type="paragraph" w:styleId="a8">
    <w:name w:val="footer"/>
    <w:basedOn w:val="a"/>
    <w:link w:val="a9"/>
    <w:uiPriority w:val="99"/>
    <w:unhideWhenUsed/>
    <w:rsid w:val="00AD5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59E0"/>
  </w:style>
  <w:style w:type="paragraph" w:styleId="aa">
    <w:name w:val="List Paragraph"/>
    <w:basedOn w:val="a"/>
    <w:uiPriority w:val="34"/>
    <w:qFormat/>
    <w:rsid w:val="009218C9"/>
    <w:pPr>
      <w:ind w:left="720"/>
      <w:contextualSpacing/>
    </w:pPr>
  </w:style>
  <w:style w:type="paragraph" w:styleId="ab">
    <w:name w:val="Body Text"/>
    <w:basedOn w:val="a"/>
    <w:link w:val="ac"/>
    <w:unhideWhenUsed/>
    <w:rsid w:val="003C42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Основной текст Знак"/>
    <w:basedOn w:val="a0"/>
    <w:link w:val="ab"/>
    <w:rsid w:val="003C42C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d">
    <w:name w:val="FollowedHyperlink"/>
    <w:basedOn w:val="a0"/>
    <w:uiPriority w:val="99"/>
    <w:semiHidden/>
    <w:unhideWhenUsed/>
    <w:rsid w:val="008D6DF6"/>
    <w:rPr>
      <w:color w:val="800080"/>
      <w:u w:val="single"/>
    </w:rPr>
  </w:style>
  <w:style w:type="paragraph" w:customStyle="1" w:styleId="xl77">
    <w:name w:val="xl77"/>
    <w:basedOn w:val="a"/>
    <w:rsid w:val="008D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D6D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8D6D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8D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8D6D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8D6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8D6D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8D6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8D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8D6DF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D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8D6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8D6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D6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8D6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8D6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D6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5601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56013"/>
    <w:rPr>
      <w:sz w:val="20"/>
      <w:szCs w:val="20"/>
    </w:rPr>
  </w:style>
  <w:style w:type="character" w:styleId="af0">
    <w:name w:val="footnote reference"/>
    <w:aliases w:val="Знак сноски 1,Знак сноски-FN,Ciae niinee-FN,SUPERS,Referencia nota al pie,fr,Used by Word for Help footnote symbols"/>
    <w:uiPriority w:val="99"/>
    <w:unhideWhenUsed/>
    <w:rsid w:val="00056013"/>
    <w:rPr>
      <w:rFonts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9410A"/>
  </w:style>
  <w:style w:type="paragraph" w:customStyle="1" w:styleId="xl94">
    <w:name w:val="xl94"/>
    <w:basedOn w:val="a"/>
    <w:rsid w:val="00D94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94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31DCE3FA27B7612A46BB14AAD9ED5E2F9FB33E9689D72EFBEA33C72A858731C51C25112DE217970B45B88bEt0F" TargetMode="External"/><Relationship Id="rId23" Type="http://schemas.openxmlformats.org/officeDocument/2006/relationships/chart" Target="charts/chart14.xml"/><Relationship Id="rId28" Type="http://schemas.openxmlformats.org/officeDocument/2006/relationships/chart" Target="charts/chart18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3.xml"/><Relationship Id="rId27" Type="http://schemas.openxmlformats.org/officeDocument/2006/relationships/chart" Target="charts/chart17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MOI_PROFIL\&#1056;&#1072;&#1073;&#1086;&#1095;&#1080;&#1081;%20&#1089;&#1090;&#1086;&#1083;\&#1050;&#1086;&#1087;&#1080;&#1103;%20&#1050;&#1086;&#1087;&#1080;&#1103;%20&#1044;&#1080;&#1072;&#1075;&#1088;&#1072;&#1084;&#1084;&#1099;.xlsx" TargetMode="External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sv\AppData\Local\Microsoft\Windows\Temporary%20Internet%20Files\Content.Outlook\OKK55KYB\&#1050;&#1086;&#1087;&#1080;&#1103;%20&#1044;&#1080;&#1072;&#1075;&#1088;&#1072;&#1084;&#1084;&#1099;.xlsx" TargetMode="External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ssv\AppData\Local\Microsoft\Windows\Temporary%20Internet%20Files\Content.Outlook\OKK55KYB\&#1050;&#1086;&#1087;&#1080;&#1103;%20&#1044;&#1080;&#1072;&#1075;&#1088;&#1072;&#1084;&#1084;&#1099;.xlsx" TargetMode="External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Среднегодовая численность населения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96</a:t>
                    </a:r>
                    <a:r>
                      <a:rPr lang="ru-RU"/>
                      <a:t>145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82789</c:v>
                </c:pt>
                <c:pt idx="1">
                  <c:v>87995</c:v>
                </c:pt>
                <c:pt idx="2">
                  <c:v>93436</c:v>
                </c:pt>
                <c:pt idx="3">
                  <c:v>94423</c:v>
                </c:pt>
                <c:pt idx="4">
                  <c:v>96602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Естественный прирост населения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1034</c:v>
                </c:pt>
                <c:pt idx="1">
                  <c:v>1137</c:v>
                </c:pt>
                <c:pt idx="2">
                  <c:v>1173</c:v>
                </c:pt>
                <c:pt idx="3">
                  <c:v>1210</c:v>
                </c:pt>
                <c:pt idx="4">
                  <c:v>1236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1680128"/>
        <c:axId val="111686016"/>
      </c:barChart>
      <c:catAx>
        <c:axId val="11168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solidFill>
            <a:schemeClr val="bg1"/>
          </a:solidFill>
          <a:ln w="12699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686016"/>
        <c:crosses val="autoZero"/>
        <c:auto val="1"/>
        <c:lblAlgn val="ctr"/>
        <c:lblOffset val="100"/>
        <c:noMultiLvlLbl val="0"/>
      </c:catAx>
      <c:valAx>
        <c:axId val="1116860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1680128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9.0287277701778385E-2"/>
          <c:y val="0.87499999999999978"/>
          <c:w val="0.81805745554035569"/>
          <c:h val="8.9743589743589744E-2"/>
        </c:manualLayout>
      </c:layout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 w="2537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3065</c:v>
                </c:pt>
                <c:pt idx="1">
                  <c:v>3827</c:v>
                </c:pt>
                <c:pt idx="2">
                  <c:v>4075</c:v>
                </c:pt>
                <c:pt idx="3">
                  <c:v>4197</c:v>
                </c:pt>
                <c:pt idx="4">
                  <c:v>4367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220800"/>
        <c:axId val="172222336"/>
      </c:barChart>
      <c:catAx>
        <c:axId val="172220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2222336"/>
        <c:crosses val="autoZero"/>
        <c:auto val="1"/>
        <c:lblAlgn val="ctr"/>
        <c:lblOffset val="100"/>
        <c:noMultiLvlLbl val="0"/>
      </c:catAx>
      <c:valAx>
        <c:axId val="172222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220800"/>
        <c:crosses val="autoZero"/>
        <c:crossBetween val="between"/>
      </c:valAx>
      <c:spPr>
        <a:effectLst>
          <a:outerShdw blurRad="50800" dist="50800" dir="5400000" algn="ctr" rotWithShape="0">
            <a:schemeClr val="tx2">
              <a:lumMod val="60000"/>
              <a:lumOff val="40000"/>
            </a:schemeClr>
          </a:outerShdw>
        </a:effectLst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1.1574074074074073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661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833333333333332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20370370370362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88</c:v>
                </c:pt>
                <c:pt idx="1">
                  <c:v>88.2</c:v>
                </c:pt>
                <c:pt idx="2">
                  <c:v>88.8</c:v>
                </c:pt>
                <c:pt idx="3">
                  <c:v>90.1</c:v>
                </c:pt>
                <c:pt idx="4">
                  <c:v>91.3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2243200"/>
        <c:axId val="172253184"/>
        <c:axId val="0"/>
      </c:bar3DChart>
      <c:catAx>
        <c:axId val="172243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253184"/>
        <c:crosses val="autoZero"/>
        <c:auto val="1"/>
        <c:lblAlgn val="ctr"/>
        <c:lblOffset val="100"/>
        <c:noMultiLvlLbl val="0"/>
      </c:catAx>
      <c:valAx>
        <c:axId val="17225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2432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F81BD"/>
            </a:solidFill>
            <a:ln w="25398">
              <a:noFill/>
            </a:ln>
          </c:spPr>
          <c:invertIfNegative val="0"/>
          <c:dLbls>
            <c:dLbl>
              <c:idx val="0"/>
              <c:layout>
                <c:manualLayout>
                  <c:x val="1.3888888888888911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518518518518476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833333333333332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833333333333332E-2"/>
                  <c:y val="-2.7777777777777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6203703703703703E-2"/>
                  <c:y val="-1.1904761904761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Лист1!$B$2:$B$6</c:f>
              <c:numCache>
                <c:formatCode>0.0</c:formatCode>
                <c:ptCount val="5"/>
                <c:pt idx="0">
                  <c:v>89</c:v>
                </c:pt>
                <c:pt idx="1">
                  <c:v>95.5</c:v>
                </c:pt>
                <c:pt idx="2">
                  <c:v>89.8</c:v>
                </c:pt>
                <c:pt idx="3">
                  <c:v>91.1</c:v>
                </c:pt>
                <c:pt idx="4">
                  <c:v>92.2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2376064"/>
        <c:axId val="172377600"/>
        <c:axId val="0"/>
      </c:bar3DChart>
      <c:catAx>
        <c:axId val="172376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2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377600"/>
        <c:crosses val="autoZero"/>
        <c:auto val="1"/>
        <c:lblAlgn val="ctr"/>
        <c:lblOffset val="100"/>
        <c:noMultiLvlLbl val="0"/>
      </c:catAx>
      <c:valAx>
        <c:axId val="172377600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376064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/>
              <a:t>Протяженность линий электропередач, км.</a:t>
            </a:r>
          </a:p>
        </c:rich>
      </c:tx>
      <c:overlay val="0"/>
      <c:spPr>
        <a:noFill/>
        <a:ln w="2539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3655913978494623E-2"/>
          <c:y val="0.19446694163229597"/>
          <c:w val="0.95268817204301071"/>
          <c:h val="0.556887889013873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39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Воздушные линии
0,4 кВ</c:v>
                </c:pt>
                <c:pt idx="1">
                  <c:v>Воздушные линии
10 кВ</c:v>
                </c:pt>
                <c:pt idx="2">
                  <c:v>Кабельные линии
0,4 кВ</c:v>
                </c:pt>
                <c:pt idx="3">
                  <c:v>Кабельные линии
10 кВ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292</c:v>
                </c:pt>
                <c:pt idx="1">
                  <c:v>136</c:v>
                </c:pt>
                <c:pt idx="2">
                  <c:v>438</c:v>
                </c:pt>
                <c:pt idx="3">
                  <c:v>443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39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Воздушные линии
0,4 кВ</c:v>
                </c:pt>
                <c:pt idx="1">
                  <c:v>Воздушные линии
10 кВ</c:v>
                </c:pt>
                <c:pt idx="2">
                  <c:v>Кабельные линии
0,4 кВ</c:v>
                </c:pt>
                <c:pt idx="3">
                  <c:v>Кабельные линии
10 кВ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321</c:v>
                </c:pt>
                <c:pt idx="1">
                  <c:v>158</c:v>
                </c:pt>
                <c:pt idx="2">
                  <c:v>461</c:v>
                </c:pt>
                <c:pt idx="3">
                  <c:v>456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39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Воздушные линии
0,4 кВ</c:v>
                </c:pt>
                <c:pt idx="1">
                  <c:v>Воздушные линии
10 кВ</c:v>
                </c:pt>
                <c:pt idx="2">
                  <c:v>Кабельные линии
0,4 кВ</c:v>
                </c:pt>
                <c:pt idx="3">
                  <c:v>Кабельные линии
10 кВ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335</c:v>
                </c:pt>
                <c:pt idx="1">
                  <c:v>160</c:v>
                </c:pt>
                <c:pt idx="2">
                  <c:v>478</c:v>
                </c:pt>
                <c:pt idx="3">
                  <c:v>475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pPr>
              <a:noFill/>
              <a:ln w="2539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Воздушные линии
0,4 кВ</c:v>
                </c:pt>
                <c:pt idx="1">
                  <c:v>Воздушные линии
10 кВ</c:v>
                </c:pt>
                <c:pt idx="2">
                  <c:v>Кабельные линии
0,4 кВ</c:v>
                </c:pt>
                <c:pt idx="3">
                  <c:v>Кабельные линии
10 кВ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361</c:v>
                </c:pt>
                <c:pt idx="1">
                  <c:v>166</c:v>
                </c:pt>
                <c:pt idx="2">
                  <c:v>499</c:v>
                </c:pt>
                <c:pt idx="3">
                  <c:v>488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 w="2539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Воздушные линии
0,4 кВ</c:v>
                </c:pt>
                <c:pt idx="1">
                  <c:v>Воздушные линии
10 кВ</c:v>
                </c:pt>
                <c:pt idx="2">
                  <c:v>Кабельные линии
0,4 кВ</c:v>
                </c:pt>
                <c:pt idx="3">
                  <c:v>Кабельные линии
10 кВ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380</c:v>
                </c:pt>
                <c:pt idx="1">
                  <c:v>111</c:v>
                </c:pt>
                <c:pt idx="2">
                  <c:v>500</c:v>
                </c:pt>
                <c:pt idx="3">
                  <c:v>493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172926848"/>
        <c:axId val="172928384"/>
      </c:barChart>
      <c:catAx>
        <c:axId val="17292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69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2928384"/>
        <c:crosses val="autoZero"/>
        <c:auto val="1"/>
        <c:lblAlgn val="ctr"/>
        <c:lblOffset val="100"/>
        <c:noMultiLvlLbl val="0"/>
      </c:catAx>
      <c:valAx>
        <c:axId val="172928384"/>
        <c:scaling>
          <c:orientation val="minMax"/>
          <c:max val="500"/>
        </c:scaling>
        <c:delete val="1"/>
        <c:axPos val="l"/>
        <c:numFmt formatCode="General" sourceLinked="1"/>
        <c:majorTickMark val="out"/>
        <c:minorTickMark val="none"/>
        <c:tickLblPos val="nextTo"/>
        <c:crossAx val="172926848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22339027595269381"/>
          <c:y val="0.91976516634050876"/>
          <c:w val="0.46386333771353483"/>
          <c:h val="7.4363992172211332E-2"/>
        </c:manualLayout>
      </c:layout>
      <c:overlay val="0"/>
      <c:spPr>
        <a:noFill/>
        <a:ln w="25397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Лист1!$B$2:$B$6</c:f>
              <c:numCache>
                <c:formatCode>0.0</c:formatCode>
                <c:ptCount val="5"/>
                <c:pt idx="0">
                  <c:v>73</c:v>
                </c:pt>
                <c:pt idx="1">
                  <c:v>73.3</c:v>
                </c:pt>
                <c:pt idx="2">
                  <c:v>73.599999999999994</c:v>
                </c:pt>
                <c:pt idx="3">
                  <c:v>74.400000000000006</c:v>
                </c:pt>
                <c:pt idx="4">
                  <c:v>75.2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2449152"/>
        <c:axId val="172483712"/>
      </c:barChart>
      <c:catAx>
        <c:axId val="172449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69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483712"/>
        <c:crosses val="autoZero"/>
        <c:auto val="1"/>
        <c:lblAlgn val="ctr"/>
        <c:lblOffset val="100"/>
        <c:noMultiLvlLbl val="0"/>
      </c:catAx>
      <c:valAx>
        <c:axId val="172483712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449152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ИНТЕРАКТИВНЫЕ СЕРВИСЫ ОФИЦИАЛЬНОГО ПОРТАЛА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2.8586639820693108E-2"/>
          <c:y val="4.629629629629629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781720755889945E-3"/>
          <c:y val="5.9962256828261012E-3"/>
          <c:w val="0.98406813417282302"/>
          <c:h val="0.787723223665355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Лист1!$P$27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Лист1!$O$28:$O$30</c:f>
              <c:strCache>
                <c:ptCount val="3"/>
                <c:pt idx="0">
                  <c:v>УЛУЧШИМ НАШ ГОРОД</c:v>
                </c:pt>
                <c:pt idx="1">
                  <c:v>СМС ИНФОРМИРОВАНИЕ</c:v>
                </c:pt>
                <c:pt idx="2">
                  <c:v>ПРОВЕРКА ОЧЕРЕДИ В ДЕТСКИЙ САД</c:v>
                </c:pt>
              </c:strCache>
            </c:strRef>
          </c:cat>
          <c:val>
            <c:numRef>
              <c:f>Лист1!$P$28:$P$30</c:f>
              <c:numCache>
                <c:formatCode>General</c:formatCode>
                <c:ptCount val="3"/>
                <c:pt idx="0">
                  <c:v>800</c:v>
                </c:pt>
                <c:pt idx="1">
                  <c:v>2308</c:v>
                </c:pt>
                <c:pt idx="2">
                  <c:v>8000</c:v>
                </c:pt>
              </c:numCache>
            </c:numRef>
          </c:val>
        </c:ser>
        <c:ser>
          <c:idx val="1"/>
          <c:order val="1"/>
          <c:tx>
            <c:strRef>
              <c:f>Лист1!$Q$27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964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Лист1!$O$28:$O$30</c:f>
              <c:strCache>
                <c:ptCount val="3"/>
                <c:pt idx="0">
                  <c:v>УЛУЧШИМ НАШ ГОРОД</c:v>
                </c:pt>
                <c:pt idx="1">
                  <c:v>СМС ИНФОРМИРОВАНИЕ</c:v>
                </c:pt>
                <c:pt idx="2">
                  <c:v>ПРОВЕРКА ОЧЕРЕДИ В ДЕТСКИЙ САД</c:v>
                </c:pt>
              </c:strCache>
            </c:strRef>
          </c:cat>
          <c:val>
            <c:numRef>
              <c:f>Лист1!$Q$28:$Q$30</c:f>
              <c:numCache>
                <c:formatCode>General</c:formatCode>
                <c:ptCount val="3"/>
                <c:pt idx="0">
                  <c:v>600</c:v>
                </c:pt>
                <c:pt idx="1">
                  <c:v>2964</c:v>
                </c:pt>
                <c:pt idx="2">
                  <c:v>12000</c:v>
                </c:pt>
              </c:numCache>
            </c:numRef>
          </c:val>
        </c:ser>
        <c:ser>
          <c:idx val="2"/>
          <c:order val="2"/>
          <c:tx>
            <c:strRef>
              <c:f>Лист1!$R$27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1566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Лист1!$O$28:$O$30</c:f>
              <c:strCache>
                <c:ptCount val="3"/>
                <c:pt idx="0">
                  <c:v>УЛУЧШИМ НАШ ГОРОД</c:v>
                </c:pt>
                <c:pt idx="1">
                  <c:v>СМС ИНФОРМИРОВАНИЕ</c:v>
                </c:pt>
                <c:pt idx="2">
                  <c:v>ПРОВЕРКА ОЧЕРЕДИ В ДЕТСКИЙ САД</c:v>
                </c:pt>
              </c:strCache>
            </c:strRef>
          </c:cat>
          <c:val>
            <c:numRef>
              <c:f>Лист1!$R$28:$R$30</c:f>
              <c:numCache>
                <c:formatCode>General</c:formatCode>
                <c:ptCount val="3"/>
                <c:pt idx="0">
                  <c:v>1000</c:v>
                </c:pt>
                <c:pt idx="1">
                  <c:v>3566</c:v>
                </c:pt>
                <c:pt idx="2">
                  <c:v>20248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172502016"/>
        <c:axId val="172532480"/>
      </c:barChart>
      <c:catAx>
        <c:axId val="17250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532480"/>
        <c:crosses val="autoZero"/>
        <c:auto val="1"/>
        <c:lblAlgn val="ctr"/>
        <c:lblOffset val="100"/>
        <c:noMultiLvlLbl val="0"/>
      </c:catAx>
      <c:valAx>
        <c:axId val="1725324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250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9649532567478"/>
          <c:y val="0.91261519393409141"/>
          <c:w val="0.25288446687805655"/>
          <c:h val="8.7384839216785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kern="0" cap="none" spc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Динамика роста количества информационных материалов</a:t>
            </a:r>
          </a:p>
        </c:rich>
      </c:tx>
      <c:layout>
        <c:manualLayout>
          <c:xMode val="edge"/>
          <c:yMode val="edge"/>
          <c:x val="0.16858796360702263"/>
          <c:y val="1.5872985202003125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официальные пресс-релизы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898</c:v>
                </c:pt>
                <c:pt idx="1">
                  <c:v>978</c:v>
                </c:pt>
                <c:pt idx="2">
                  <c:v>1554</c:v>
                </c:pt>
                <c:pt idx="3">
                  <c:v>1730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материалы в городских СМИ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1044</c:v>
                </c:pt>
                <c:pt idx="1">
                  <c:v>1200</c:v>
                </c:pt>
                <c:pt idx="2">
                  <c:v>1649</c:v>
                </c:pt>
                <c:pt idx="3">
                  <c:v>1820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материалы в иных СМИ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152</c:v>
                </c:pt>
                <c:pt idx="1">
                  <c:v>418</c:v>
                </c:pt>
                <c:pt idx="2">
                  <c:v>359</c:v>
                </c:pt>
                <c:pt idx="3">
                  <c:v>365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9"/>
        <c:shape val="box"/>
        <c:axId val="173142016"/>
        <c:axId val="173143552"/>
        <c:axId val="0"/>
      </c:bar3DChart>
      <c:catAx>
        <c:axId val="173142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73143552"/>
        <c:crosses val="autoZero"/>
        <c:auto val="1"/>
        <c:lblAlgn val="ctr"/>
        <c:lblOffset val="100"/>
        <c:noMultiLvlLbl val="0"/>
      </c:catAx>
      <c:valAx>
        <c:axId val="1731435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314201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8158640226628892E-2"/>
          <c:y val="0.20935960591133004"/>
          <c:w val="0.90226628895184147"/>
          <c:h val="6.4039408866995079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19</c:v>
                </c:pt>
                <c:pt idx="2">
                  <c:v>26</c:v>
                </c:pt>
                <c:pt idx="3">
                  <c:v>31</c:v>
                </c:pt>
                <c:pt idx="4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2791680"/>
        <c:axId val="172793216"/>
      </c:barChart>
      <c:catAx>
        <c:axId val="17279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69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793216"/>
        <c:crosses val="autoZero"/>
        <c:auto val="1"/>
        <c:lblAlgn val="ctr"/>
        <c:lblOffset val="100"/>
        <c:noMultiLvlLbl val="0"/>
      </c:catAx>
      <c:valAx>
        <c:axId val="172793216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791680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0" i="0" kern="0" baseline="0">
                <a:latin typeface="Times New Roman" panose="02020603050405020304" pitchFamily="18" charset="0"/>
              </a:rPr>
              <a:t>Количество граждан, обученных навыкам использования информационных технологий, чел.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'[Копия Диаграммы.xlsx]Лист1'!$L$2</c:f>
              <c:strCache>
                <c:ptCount val="1"/>
                <c:pt idx="0">
                  <c:v>Количество граждан, обученных навыкам использования информационных технологий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'[Копия Диаграммы.xlsx]Лист1'!$M$1:$O$1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'[Копия Диаграммы.xlsx]Лист1'!$M$2:$O$2</c:f>
              <c:numCache>
                <c:formatCode>General</c:formatCode>
                <c:ptCount val="3"/>
                <c:pt idx="0">
                  <c:v>240</c:v>
                </c:pt>
                <c:pt idx="1">
                  <c:v>250</c:v>
                </c:pt>
                <c:pt idx="2">
                  <c:v>300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315392"/>
        <c:axId val="172552960"/>
      </c:barChart>
      <c:catAx>
        <c:axId val="11231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cmpd="sng"/>
        </c:spPr>
        <c:txPr>
          <a:bodyPr/>
          <a:lstStyle/>
          <a:p>
            <a:pPr>
              <a:defRPr b="1" i="0" baseline="0">
                <a:solidFill>
                  <a:sysClr val="windowText" lastClr="000000"/>
                </a:solidFill>
              </a:defRPr>
            </a:pPr>
            <a:endParaRPr lang="ru-RU"/>
          </a:p>
        </c:txPr>
        <c:crossAx val="172552960"/>
        <c:crosses val="autoZero"/>
        <c:auto val="1"/>
        <c:lblAlgn val="ctr"/>
        <c:lblOffset val="100"/>
        <c:noMultiLvlLbl val="0"/>
      </c:catAx>
      <c:valAx>
        <c:axId val="17255296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2315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3655909972752524E-2"/>
          <c:y val="3.8647316266176818E-2"/>
          <c:w val="0.92688173281149233"/>
          <c:h val="0.78742731150788159"/>
        </c:manualLayout>
      </c:layout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invertIfNegative val="0"/>
            <c:bubble3D val="0"/>
            <c:spPr>
              <a:ln>
                <a:beve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invertIfNegative val="0"/>
            <c:bubble3D val="0"/>
            <c:spPr>
              <a:solidFill>
                <a:schemeClr val="accent3">
                  <a:lumMod val="5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7"/>
            <c:invertIfNegative val="0"/>
            <c:bubble3D val="0"/>
            <c:spPr>
              <a:solidFill>
                <a:schemeClr val="accent3">
                  <a:lumMod val="5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'[Копия Диаграммы.xlsx]Лист1'!$D$25:$G$25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'[Копия Диаграммы.xlsx]Лист1'!$D$26:$G$26,'[Копия Диаграммы.xlsx]Лист1'!$I$26:$L$26</c:f>
              <c:numCache>
                <c:formatCode>General</c:formatCode>
                <c:ptCount val="8"/>
                <c:pt idx="0">
                  <c:v>110</c:v>
                </c:pt>
                <c:pt idx="1">
                  <c:v>1187</c:v>
                </c:pt>
                <c:pt idx="2">
                  <c:v>4174</c:v>
                </c:pt>
                <c:pt idx="3">
                  <c:v>6821</c:v>
                </c:pt>
                <c:pt idx="4">
                  <c:v>12</c:v>
                </c:pt>
                <c:pt idx="5">
                  <c:v>1503</c:v>
                </c:pt>
                <c:pt idx="6">
                  <c:v>1888</c:v>
                </c:pt>
                <c:pt idx="7">
                  <c:v>1960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084032"/>
        <c:axId val="172958848"/>
      </c:barChart>
      <c:catAx>
        <c:axId val="17308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one"/>
        <c:crossAx val="172958848"/>
        <c:crosses val="autoZero"/>
        <c:auto val="1"/>
        <c:lblAlgn val="ctr"/>
        <c:lblOffset val="100"/>
        <c:noMultiLvlLbl val="0"/>
      </c:catAx>
      <c:valAx>
        <c:axId val="172958848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73084032"/>
        <c:crosses val="autoZero"/>
        <c:crossBetween val="between"/>
      </c:valAx>
      <c:spPr>
        <a:noFill/>
      </c:spPr>
    </c:plotArea>
    <c:legend>
      <c:legendPos val="b"/>
      <c:legendEntry>
        <c:idx val="0"/>
        <c:txPr>
          <a:bodyPr/>
          <a:lstStyle/>
          <a:p>
            <a:pPr rtl="0">
              <a:defRPr sz="1200" b="1" i="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 rtl="0">
              <a:defRPr sz="1200" b="1" i="0" baseline="0"/>
            </a:pPr>
            <a:endParaRPr lang="ru-RU"/>
          </a:p>
        </c:txPr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>
        <c:manualLayout>
          <c:xMode val="edge"/>
          <c:yMode val="edge"/>
          <c:x val="0.10330486778344464"/>
          <c:y val="0.91195787140891382"/>
          <c:w val="0.72909986807215843"/>
          <c:h val="6.7091892824343941E-2"/>
        </c:manualLayout>
      </c:layout>
      <c:overlay val="0"/>
    </c:legend>
    <c:plotVisOnly val="1"/>
    <c:dispBlanksAs val="gap"/>
    <c:showDLblsOverMax val="0"/>
  </c:chart>
  <c:spPr>
    <a:ln w="9525"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ysClr val="windowText" lastClr="000000"/>
                </a:solidFill>
              </a:rPr>
              <a:t>Объем</a:t>
            </a:r>
            <a:r>
              <a:rPr lang="ru-RU" sz="1400" baseline="0">
                <a:solidFill>
                  <a:sysClr val="windowText" lastClr="000000"/>
                </a:solidFill>
              </a:rPr>
              <a:t> промышленной продукции, млн.руб.</a:t>
            </a:r>
            <a:endParaRPr lang="ru-RU" sz="1400">
              <a:solidFill>
                <a:sysClr val="windowText" lastClr="000000"/>
              </a:solidFill>
            </a:endParaRP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Обрабатывающие производства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1.4413672397817368E-2"/>
                  <c:y val="-3.43229792345975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354576340986344E-2"/>
                  <c:y val="-3.43229792345981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2354576340986308E-2"/>
                  <c:y val="-6.29247350181870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23638422732420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05128205128205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Лист1!$B$2:$B$6</c:f>
              <c:numCache>
                <c:formatCode>0.0</c:formatCode>
                <c:ptCount val="5"/>
                <c:pt idx="0">
                  <c:v>1595.6</c:v>
                </c:pt>
                <c:pt idx="1">
                  <c:v>1308.4000000000001</c:v>
                </c:pt>
                <c:pt idx="2">
                  <c:v>1913.5</c:v>
                </c:pt>
                <c:pt idx="3">
                  <c:v>2184.6</c:v>
                </c:pt>
                <c:pt idx="4">
                  <c:v>501.1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Производство и распределение электроэнергии, газа и воды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2354576340986289E-2"/>
                  <c:y val="-3.14623675090935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2363842273241294E-3"/>
                  <c:y val="-1.573118375454675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3545763409863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118192113662102E-3"/>
                  <c:y val="-3.14623675090935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Лист1!$C$2:$C$6</c:f>
              <c:numCache>
                <c:formatCode>0.0</c:formatCode>
                <c:ptCount val="5"/>
                <c:pt idx="0">
                  <c:v>4465.8999999999996</c:v>
                </c:pt>
                <c:pt idx="1">
                  <c:v>6873</c:v>
                </c:pt>
                <c:pt idx="2">
                  <c:v>7745.1</c:v>
                </c:pt>
                <c:pt idx="3">
                  <c:v>8090.7</c:v>
                </c:pt>
                <c:pt idx="4">
                  <c:v>8497.9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Рыболовство, рыбоводство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0311164950535029E-2"/>
                  <c:y val="-3.43243338123565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25988289925297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295480284155256E-2"/>
                  <c:y val="-3.43229792345975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413672397817358E-2"/>
                  <c:y val="-6.86459584691963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02564102564102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Лист1!$D$2:$D$6</c:f>
              <c:numCache>
                <c:formatCode>0.0</c:formatCode>
                <c:ptCount val="5"/>
                <c:pt idx="0">
                  <c:v>12.3</c:v>
                </c:pt>
                <c:pt idx="1">
                  <c:v>18.100000000000001</c:v>
                </c:pt>
                <c:pt idx="2">
                  <c:v>24.6</c:v>
                </c:pt>
                <c:pt idx="3">
                  <c:v>86.7</c:v>
                </c:pt>
                <c:pt idx="4">
                  <c:v>96.5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Предоставление прочих услуг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2.0583080961033718E-2"/>
                  <c:y val="1.62788617140358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677892186553602E-2"/>
                  <c:y val="3.59550510901458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670139309509464E-2"/>
                  <c:y val="-2.94293508726036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590995356349687E-2"/>
                  <c:y val="6.528531323927924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6410256410256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Лист1!$E$2:$E$6</c:f>
              <c:numCache>
                <c:formatCode>0.0</c:formatCode>
                <c:ptCount val="5"/>
                <c:pt idx="0">
                  <c:v>36.5</c:v>
                </c:pt>
                <c:pt idx="1">
                  <c:v>41.1</c:v>
                </c:pt>
                <c:pt idx="2">
                  <c:v>42</c:v>
                </c:pt>
                <c:pt idx="3">
                  <c:v>33.700000000000003</c:v>
                </c:pt>
                <c:pt idx="4">
                  <c:v>18.399999999999999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878528"/>
        <c:axId val="111880064"/>
        <c:axId val="0"/>
      </c:bar3DChart>
      <c:catAx>
        <c:axId val="111878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solidFill>
            <a:schemeClr val="bg1"/>
          </a:solidFill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80064"/>
        <c:crosses val="autoZero"/>
        <c:auto val="1"/>
        <c:lblAlgn val="ctr"/>
        <c:lblOffset val="100"/>
        <c:noMultiLvlLbl val="0"/>
      </c:catAx>
      <c:valAx>
        <c:axId val="11188006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118785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886582359023301"/>
          <c:y val="0.12033149399632129"/>
          <c:w val="0.21171764893024733"/>
          <c:h val="0.81819331638663273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3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3">
                <a:solidFill>
                  <a:sysClr val="windowText" lastClr="000000"/>
                </a:solidFill>
              </a:rPr>
              <a:t>Структура инвестиций в основной капитал, %</a:t>
            </a:r>
          </a:p>
        </c:rich>
      </c:tx>
      <c:overlay val="0"/>
      <c:spPr>
        <a:noFill/>
        <a:ln w="2545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13992588377798182"/>
          <c:w val="0.94907407407407407"/>
          <c:h val="0.6315986690528128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Строительство зданий и сооружений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45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2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0.55800000000000005</c:v>
                </c:pt>
                <c:pt idx="1">
                  <c:v>0.51600000000000001</c:v>
                </c:pt>
                <c:pt idx="2">
                  <c:v>0.434</c:v>
                </c:pt>
                <c:pt idx="3">
                  <c:v>0.38900000000000001</c:v>
                </c:pt>
                <c:pt idx="4">
                  <c:v>0.38500000000000001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Строительство жилья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45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2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0.20100000000000001</c:v>
                </c:pt>
                <c:pt idx="1">
                  <c:v>0.28799999999999998</c:v>
                </c:pt>
                <c:pt idx="2">
                  <c:v>0.219</c:v>
                </c:pt>
                <c:pt idx="3">
                  <c:v>0.247</c:v>
                </c:pt>
                <c:pt idx="4">
                  <c:v>0.314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Приобретение машин и оборудования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45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2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Лист1!$D$2:$D$6</c:f>
              <c:numCache>
                <c:formatCode>0.0%</c:formatCode>
                <c:ptCount val="5"/>
                <c:pt idx="0">
                  <c:v>0.23599999999999999</c:v>
                </c:pt>
                <c:pt idx="1">
                  <c:v>0.19500000000000001</c:v>
                </c:pt>
                <c:pt idx="2">
                  <c:v>0.317</c:v>
                </c:pt>
                <c:pt idx="3">
                  <c:v>0.307</c:v>
                </c:pt>
                <c:pt idx="4">
                  <c:v>0.20499999999999999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Прочие инвестиции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2.0420665713702267E-3"/>
                  <c:y val="-1.692333728211203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420665713702267E-3"/>
                  <c:y val="-2.707733965137926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0841331427404533E-3"/>
                  <c:y val="-3.046200710780167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4.400067693349128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5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2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Лист1!$E$2:$E$6</c:f>
              <c:numCache>
                <c:formatCode>0.0%</c:formatCode>
                <c:ptCount val="5"/>
                <c:pt idx="0">
                  <c:v>5.0000000000000001E-3</c:v>
                </c:pt>
                <c:pt idx="1">
                  <c:v>1E-3</c:v>
                </c:pt>
                <c:pt idx="2">
                  <c:v>0.03</c:v>
                </c:pt>
                <c:pt idx="3">
                  <c:v>5.7000000000000002E-2</c:v>
                </c:pt>
                <c:pt idx="4">
                  <c:v>9.6000000000000002E-2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1912832"/>
        <c:axId val="111914368"/>
      </c:barChart>
      <c:catAx>
        <c:axId val="111912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2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914368"/>
        <c:crosses val="autoZero"/>
        <c:auto val="1"/>
        <c:lblAlgn val="ctr"/>
        <c:lblOffset val="100"/>
        <c:noMultiLvlLbl val="0"/>
      </c:catAx>
      <c:valAx>
        <c:axId val="11191436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1912832"/>
        <c:crosses val="autoZero"/>
        <c:crossBetween val="between"/>
      </c:valAx>
      <c:spPr>
        <a:noFill/>
        <a:ln w="25452">
          <a:noFill/>
        </a:ln>
      </c:spPr>
    </c:plotArea>
    <c:legend>
      <c:legendPos val="r"/>
      <c:layout>
        <c:manualLayout>
          <c:xMode val="edge"/>
          <c:yMode val="edge"/>
          <c:x val="0.17385943279901359"/>
          <c:y val="0.85354691075514877"/>
          <c:w val="0.65104808877928477"/>
          <c:h val="0.14568946623607532"/>
        </c:manualLayout>
      </c:layout>
      <c:overlay val="0"/>
      <c:spPr>
        <a:noFill/>
        <a:ln w="2545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2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3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2">
                <a:solidFill>
                  <a:sysClr val="windowText" lastClr="000000"/>
                </a:solidFill>
              </a:rPr>
              <a:t>Показатели уровня жизни</a:t>
            </a:r>
            <a:r>
              <a:rPr lang="ru-RU" sz="1402" baseline="0">
                <a:solidFill>
                  <a:sysClr val="windowText" lastClr="000000"/>
                </a:solidFill>
              </a:rPr>
              <a:t> населения, руб.</a:t>
            </a:r>
            <a:endParaRPr lang="ru-RU" sz="1400">
              <a:solidFill>
                <a:sysClr val="windowText" lastClr="000000"/>
              </a:solidFill>
            </a:endParaRPr>
          </a:p>
        </c:rich>
      </c:tx>
      <c:overlay val="0"/>
      <c:spPr>
        <a:noFill/>
        <a:ln w="25445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зарплата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44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2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Лист1!$B$2:$B$6</c:f>
              <c:numCache>
                <c:formatCode>0.0</c:formatCode>
                <c:ptCount val="5"/>
                <c:pt idx="0">
                  <c:v>50628.6</c:v>
                </c:pt>
                <c:pt idx="1">
                  <c:v>56602.2</c:v>
                </c:pt>
                <c:pt idx="2">
                  <c:v>62600.5</c:v>
                </c:pt>
                <c:pt idx="3">
                  <c:v>66765</c:v>
                </c:pt>
                <c:pt idx="4">
                  <c:v>67300.399999999994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Среднемесячный размер пенсии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44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2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Лист1!$C$2:$C$6</c:f>
              <c:numCache>
                <c:formatCode>0.0</c:formatCode>
                <c:ptCount val="5"/>
                <c:pt idx="0">
                  <c:v>13971</c:v>
                </c:pt>
                <c:pt idx="1">
                  <c:v>14894.7</c:v>
                </c:pt>
                <c:pt idx="2">
                  <c:v>16372.8</c:v>
                </c:pt>
                <c:pt idx="3">
                  <c:v>17729.2</c:v>
                </c:pt>
                <c:pt idx="4">
                  <c:v>19605.900000000001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Среднедушевой доход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44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2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Лист1!$D$2:$D$6</c:f>
              <c:numCache>
                <c:formatCode>0.0</c:formatCode>
                <c:ptCount val="5"/>
                <c:pt idx="0">
                  <c:v>40156.6</c:v>
                </c:pt>
                <c:pt idx="1">
                  <c:v>42778</c:v>
                </c:pt>
                <c:pt idx="2">
                  <c:v>45098</c:v>
                </c:pt>
                <c:pt idx="3">
                  <c:v>46811.7</c:v>
                </c:pt>
                <c:pt idx="4">
                  <c:v>47590.400000000001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2351488"/>
        <c:axId val="112361472"/>
      </c:barChart>
      <c:catAx>
        <c:axId val="11235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23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361472"/>
        <c:crosses val="autoZero"/>
        <c:auto val="1"/>
        <c:lblAlgn val="ctr"/>
        <c:lblOffset val="100"/>
        <c:noMultiLvlLbl val="0"/>
      </c:catAx>
      <c:valAx>
        <c:axId val="11236147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12351488"/>
        <c:crosses val="autoZero"/>
        <c:crossBetween val="between"/>
      </c:valAx>
      <c:spPr>
        <a:noFill/>
        <a:ln w="25445">
          <a:noFill/>
        </a:ln>
      </c:spPr>
    </c:plotArea>
    <c:legend>
      <c:legendPos val="r"/>
      <c:layout>
        <c:manualLayout>
          <c:xMode val="edge"/>
          <c:yMode val="edge"/>
          <c:x val="0.7310551558752999"/>
          <c:y val="0.10023951924042283"/>
          <c:w val="0.24025005965163446"/>
          <c:h val="0.85968762101458629"/>
        </c:manualLayout>
      </c:layout>
      <c:overlay val="0"/>
      <c:spPr>
        <a:noFill/>
        <a:ln w="25445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2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4.6221400508435406E-3"/>
                  <c:y val="-1.0590415673815209E-2"/>
                </c:manualLayout>
              </c:layout>
              <c:spPr>
                <a:noFill/>
                <a:ln w="2540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13144.4</c:v>
                </c:pt>
                <c:pt idx="1">
                  <c:v>14228.9</c:v>
                </c:pt>
                <c:pt idx="2">
                  <c:v>15989.9</c:v>
                </c:pt>
                <c:pt idx="3">
                  <c:v>16896.8</c:v>
                </c:pt>
                <c:pt idx="4">
                  <c:v>17883.5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148992"/>
        <c:axId val="172331008"/>
      </c:barChart>
      <c:catAx>
        <c:axId val="17214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2331008"/>
        <c:crosses val="autoZero"/>
        <c:auto val="1"/>
        <c:lblAlgn val="ctr"/>
        <c:lblOffset val="100"/>
        <c:noMultiLvlLbl val="0"/>
      </c:catAx>
      <c:valAx>
        <c:axId val="17233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148992"/>
        <c:crosses val="autoZero"/>
        <c:crossBetween val="between"/>
      </c:valAx>
      <c:spPr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 w="2538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167.7</c:v>
                </c:pt>
                <c:pt idx="1">
                  <c:v>171.9</c:v>
                </c:pt>
                <c:pt idx="2">
                  <c:v>181.7</c:v>
                </c:pt>
                <c:pt idx="3">
                  <c:v>183.2</c:v>
                </c:pt>
                <c:pt idx="4">
                  <c:v>189.4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485504"/>
        <c:axId val="112487040"/>
      </c:barChart>
      <c:catAx>
        <c:axId val="11248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2487040"/>
        <c:crosses val="autoZero"/>
        <c:auto val="1"/>
        <c:lblAlgn val="ctr"/>
        <c:lblOffset val="100"/>
        <c:noMultiLvlLbl val="0"/>
      </c:catAx>
      <c:valAx>
        <c:axId val="112487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485504"/>
        <c:crosses val="autoZero"/>
        <c:crossBetween val="between"/>
      </c:valAx>
      <c:spPr>
        <a:effectLst>
          <a:outerShdw blurRad="50800" dist="50800" dir="5400000" algn="ctr" rotWithShape="0">
            <a:schemeClr val="tx2">
              <a:lumMod val="60000"/>
              <a:lumOff val="40000"/>
            </a:schemeClr>
          </a:outerShdw>
        </a:effectLst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 w="2539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1702.3</c:v>
                </c:pt>
                <c:pt idx="1">
                  <c:v>1743.3</c:v>
                </c:pt>
                <c:pt idx="2">
                  <c:v>2174.1</c:v>
                </c:pt>
                <c:pt idx="3">
                  <c:v>2480.1</c:v>
                </c:pt>
                <c:pt idx="4">
                  <c:v>2655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508928"/>
        <c:axId val="112510464"/>
      </c:barChart>
      <c:catAx>
        <c:axId val="112508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2510464"/>
        <c:crosses val="autoZero"/>
        <c:auto val="1"/>
        <c:lblAlgn val="ctr"/>
        <c:lblOffset val="100"/>
        <c:noMultiLvlLbl val="0"/>
      </c:catAx>
      <c:valAx>
        <c:axId val="112510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508928"/>
        <c:crosses val="autoZero"/>
        <c:crossBetween val="between"/>
      </c:valAx>
      <c:spPr>
        <a:effectLst>
          <a:outerShdw blurRad="50800" dist="50800" dir="5400000" algn="ctr" rotWithShape="0">
            <a:schemeClr val="tx2">
              <a:lumMod val="60000"/>
              <a:lumOff val="40000"/>
            </a:schemeClr>
          </a:outerShdw>
        </a:effectLst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 w="2540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21.8</c:v>
                </c:pt>
                <c:pt idx="1">
                  <c:v>22.3</c:v>
                </c:pt>
                <c:pt idx="2">
                  <c:v>24.7</c:v>
                </c:pt>
                <c:pt idx="3">
                  <c:v>26.9</c:v>
                </c:pt>
                <c:pt idx="4">
                  <c:v>28.1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454272"/>
        <c:axId val="172167552"/>
      </c:barChart>
      <c:catAx>
        <c:axId val="11245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2167552"/>
        <c:crosses val="autoZero"/>
        <c:auto val="1"/>
        <c:lblAlgn val="ctr"/>
        <c:lblOffset val="100"/>
        <c:noMultiLvlLbl val="0"/>
      </c:catAx>
      <c:valAx>
        <c:axId val="172167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454272"/>
        <c:crosses val="autoZero"/>
        <c:crossBetween val="between"/>
      </c:valAx>
      <c:spPr>
        <a:effectLst>
          <a:outerShdw blurRad="50800" dist="50800" dir="5400000" algn="ctr" rotWithShape="0">
            <a:schemeClr val="tx2">
              <a:lumMod val="60000"/>
              <a:lumOff val="40000"/>
            </a:schemeClr>
          </a:outerShdw>
        </a:effectLst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 w="2537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239.7</c:v>
                </c:pt>
                <c:pt idx="1">
                  <c:v>316.8</c:v>
                </c:pt>
                <c:pt idx="2">
                  <c:v>358.6</c:v>
                </c:pt>
                <c:pt idx="3">
                  <c:v>387.1</c:v>
                </c:pt>
                <c:pt idx="4">
                  <c:v>412.3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197376"/>
        <c:axId val="172198912"/>
      </c:barChart>
      <c:catAx>
        <c:axId val="17219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2198912"/>
        <c:crosses val="autoZero"/>
        <c:auto val="1"/>
        <c:lblAlgn val="ctr"/>
        <c:lblOffset val="100"/>
        <c:noMultiLvlLbl val="0"/>
      </c:catAx>
      <c:valAx>
        <c:axId val="172198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197376"/>
        <c:crosses val="autoZero"/>
        <c:crossBetween val="between"/>
      </c:valAx>
      <c:spPr>
        <a:effectLst>
          <a:outerShdw blurRad="50800" dist="50800" dir="5400000" algn="ctr" rotWithShape="0">
            <a:schemeClr val="tx2">
              <a:lumMod val="60000"/>
              <a:lumOff val="40000"/>
            </a:schemeClr>
          </a:outerShdw>
        </a:effectLst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0.15559</cdr:x>
      <cdr:y>0.83755</cdr:y>
    </cdr:from>
    <cdr:to>
      <cdr:x>0.32343</cdr:x>
      <cdr:y>0.9281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47725" y="2995616"/>
          <a:ext cx="91440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/>
            <a:t>МВ</a:t>
          </a:r>
          <a:r>
            <a:rPr lang="ru-RU" sz="1200" b="1" baseline="0"/>
            <a:t> ЗАПРОСЫ</a:t>
          </a:r>
          <a:endParaRPr lang="ru-RU" sz="1200" b="1"/>
        </a:p>
      </cdr:txBody>
    </cdr:sp>
  </cdr:relSizeAnchor>
  <cdr:relSizeAnchor xmlns:cdr="http://schemas.openxmlformats.org/drawingml/2006/chartDrawing">
    <cdr:from>
      <cdr:x>0.64219</cdr:x>
      <cdr:y>0.82912</cdr:y>
    </cdr:from>
    <cdr:to>
      <cdr:x>0.81002</cdr:x>
      <cdr:y>0.91966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498850" y="2965450"/>
          <a:ext cx="91440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 b="1"/>
            <a:t>МВ</a:t>
          </a:r>
          <a:r>
            <a:rPr lang="ru-RU" sz="1200" b="1" baseline="0"/>
            <a:t> ОТВЕТЫ</a:t>
          </a:r>
        </a:p>
      </cdr:txBody>
    </cdr:sp>
  </cdr:relSizeAnchor>
  <cdr:relSizeAnchor xmlns:cdr="http://schemas.openxmlformats.org/drawingml/2006/chartDrawing">
    <cdr:from>
      <cdr:x>0.13695</cdr:x>
      <cdr:y>0.00089</cdr:y>
    </cdr:from>
    <cdr:to>
      <cdr:x>0.30478</cdr:x>
      <cdr:y>0.09143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746125" y="3175"/>
          <a:ext cx="91440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 b="1"/>
            <a:t>МЕЖВЕДОМСТВЕННОЕ ЭЛЕКТРОННОЕ ВЗАИМОДЕЙСТВИЕ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8D0B-4F03-4D85-9810-6C5F36BC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56</Pages>
  <Words>16564</Words>
  <Characters>94415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Кашина</dc:creator>
  <cp:lastModifiedBy>Наталия Б. Симончук</cp:lastModifiedBy>
  <cp:revision>28</cp:revision>
  <cp:lastPrinted>2016-05-25T10:50:00Z</cp:lastPrinted>
  <dcterms:created xsi:type="dcterms:W3CDTF">2016-05-30T14:07:00Z</dcterms:created>
  <dcterms:modified xsi:type="dcterms:W3CDTF">2016-09-28T09:21:00Z</dcterms:modified>
</cp:coreProperties>
</file>