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77" w:rsidRDefault="00891077">
      <w:pPr>
        <w:rPr>
          <w:rFonts w:ascii="PT Astra Serif" w:hAnsi="PT Astra Serif"/>
        </w:rPr>
      </w:pPr>
    </w:p>
    <w:p w:rsidR="00891077" w:rsidRDefault="0089107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91077" w:rsidRDefault="00891077">
      <w:pPr>
        <w:spacing w:after="0" w:line="240" w:lineRule="auto"/>
        <w:ind w:left="426"/>
        <w:jc w:val="center"/>
        <w:rPr>
          <w:rFonts w:ascii="PT Astra Serif" w:hAnsi="PT Astra Serif"/>
          <w:b/>
          <w:color w:val="003399"/>
          <w:sz w:val="56"/>
          <w:szCs w:val="40"/>
        </w:rPr>
      </w:pPr>
    </w:p>
    <w:p w:rsidR="00891077" w:rsidRDefault="00891077">
      <w:pPr>
        <w:spacing w:after="0" w:line="240" w:lineRule="auto"/>
        <w:ind w:left="426"/>
        <w:jc w:val="center"/>
        <w:rPr>
          <w:rFonts w:ascii="PT Astra Serif" w:hAnsi="PT Astra Serif"/>
          <w:b/>
          <w:color w:val="003399"/>
          <w:sz w:val="56"/>
          <w:szCs w:val="40"/>
        </w:rPr>
      </w:pPr>
    </w:p>
    <w:p w:rsidR="00891077" w:rsidRDefault="00891077">
      <w:pPr>
        <w:spacing w:after="0" w:line="240" w:lineRule="auto"/>
        <w:ind w:left="426"/>
        <w:jc w:val="center"/>
        <w:rPr>
          <w:rFonts w:ascii="PT Astra Serif" w:hAnsi="PT Astra Serif"/>
          <w:b/>
          <w:color w:val="003399"/>
          <w:sz w:val="56"/>
          <w:szCs w:val="40"/>
        </w:rPr>
      </w:pPr>
    </w:p>
    <w:p w:rsidR="00891077" w:rsidRDefault="00891077">
      <w:pPr>
        <w:spacing w:after="0" w:line="240" w:lineRule="auto"/>
        <w:ind w:left="426"/>
        <w:jc w:val="center"/>
        <w:rPr>
          <w:rFonts w:ascii="PT Astra Serif" w:hAnsi="PT Astra Serif"/>
          <w:b/>
          <w:color w:val="003399"/>
          <w:sz w:val="56"/>
          <w:szCs w:val="40"/>
        </w:rPr>
      </w:pPr>
    </w:p>
    <w:p w:rsidR="00891077" w:rsidRDefault="00891077">
      <w:pPr>
        <w:spacing w:after="0" w:line="240" w:lineRule="auto"/>
        <w:ind w:left="426"/>
        <w:jc w:val="center"/>
        <w:rPr>
          <w:rFonts w:ascii="PT Astra Serif" w:hAnsi="PT Astra Serif"/>
          <w:b/>
          <w:color w:val="003399"/>
          <w:sz w:val="56"/>
          <w:szCs w:val="40"/>
        </w:rPr>
      </w:pPr>
    </w:p>
    <w:p w:rsidR="00891077" w:rsidRPr="007D0643" w:rsidRDefault="00D415FB">
      <w:pPr>
        <w:spacing w:after="0" w:line="240" w:lineRule="auto"/>
        <w:ind w:left="426"/>
        <w:jc w:val="center"/>
        <w:rPr>
          <w:rFonts w:ascii="PT Astra Serif" w:hAnsi="PT Astra Serif"/>
          <w:b/>
          <w:color w:val="365F91" w:themeColor="accent1" w:themeShade="BF"/>
          <w:sz w:val="56"/>
          <w:szCs w:val="40"/>
        </w:rPr>
      </w:pPr>
      <w:r w:rsidRPr="007D0643">
        <w:rPr>
          <w:rFonts w:ascii="PT Astra Serif" w:hAnsi="PT Astra Serif"/>
          <w:b/>
          <w:color w:val="365F91" w:themeColor="accent1" w:themeShade="BF"/>
          <w:sz w:val="56"/>
          <w:szCs w:val="40"/>
        </w:rPr>
        <w:t>СВОДНЫЙ ДОКЛАД</w:t>
      </w:r>
    </w:p>
    <w:p w:rsidR="00891077" w:rsidRPr="007D0643" w:rsidRDefault="00D415FB">
      <w:pPr>
        <w:pStyle w:val="a4"/>
        <w:spacing w:after="0" w:line="240" w:lineRule="auto"/>
        <w:ind w:left="426"/>
        <w:jc w:val="center"/>
        <w:rPr>
          <w:rFonts w:ascii="PT Astra Serif" w:hAnsi="PT Astra Serif"/>
          <w:b/>
          <w:color w:val="365F91" w:themeColor="accent1" w:themeShade="BF"/>
          <w:sz w:val="56"/>
          <w:szCs w:val="40"/>
        </w:rPr>
      </w:pPr>
      <w:r w:rsidRPr="007D0643">
        <w:rPr>
          <w:rFonts w:ascii="PT Astra Serif" w:hAnsi="PT Astra Serif"/>
          <w:b/>
          <w:color w:val="365F91" w:themeColor="accent1" w:themeShade="BF"/>
          <w:sz w:val="56"/>
          <w:szCs w:val="40"/>
        </w:rPr>
        <w:t xml:space="preserve">о ходе реализации </w:t>
      </w:r>
    </w:p>
    <w:p w:rsidR="00BA5DFF" w:rsidRPr="007D0643" w:rsidRDefault="00D415FB" w:rsidP="007D0643">
      <w:pPr>
        <w:pStyle w:val="a4"/>
        <w:spacing w:after="0" w:line="240" w:lineRule="auto"/>
        <w:ind w:left="0"/>
        <w:jc w:val="center"/>
        <w:rPr>
          <w:rFonts w:ascii="PT Astra Serif" w:hAnsi="PT Astra Serif"/>
          <w:b/>
          <w:color w:val="365F91" w:themeColor="accent1" w:themeShade="BF"/>
          <w:sz w:val="56"/>
          <w:szCs w:val="40"/>
        </w:rPr>
      </w:pPr>
      <w:r w:rsidRPr="007D0643">
        <w:rPr>
          <w:rFonts w:ascii="PT Astra Serif" w:hAnsi="PT Astra Serif"/>
          <w:b/>
          <w:color w:val="365F91" w:themeColor="accent1" w:themeShade="BF"/>
          <w:sz w:val="56"/>
          <w:szCs w:val="40"/>
        </w:rPr>
        <w:t>муниципальных</w:t>
      </w:r>
      <w:r w:rsidR="00BA5DFF" w:rsidRPr="007D0643">
        <w:rPr>
          <w:rFonts w:ascii="PT Astra Serif" w:hAnsi="PT Astra Serif"/>
          <w:b/>
          <w:color w:val="365F91" w:themeColor="accent1" w:themeShade="BF"/>
          <w:sz w:val="56"/>
          <w:szCs w:val="40"/>
        </w:rPr>
        <w:t xml:space="preserve"> </w:t>
      </w:r>
      <w:r w:rsidRPr="007D0643">
        <w:rPr>
          <w:rFonts w:ascii="PT Astra Serif" w:hAnsi="PT Astra Serif"/>
          <w:b/>
          <w:color w:val="365F91" w:themeColor="accent1" w:themeShade="BF"/>
          <w:sz w:val="56"/>
          <w:szCs w:val="40"/>
        </w:rPr>
        <w:t xml:space="preserve">программ </w:t>
      </w:r>
    </w:p>
    <w:p w:rsidR="00BA5DFF" w:rsidRPr="007D0643" w:rsidRDefault="00BA5DFF">
      <w:pPr>
        <w:pStyle w:val="a4"/>
        <w:spacing w:after="0" w:line="240" w:lineRule="auto"/>
        <w:ind w:left="426"/>
        <w:jc w:val="center"/>
        <w:rPr>
          <w:rFonts w:ascii="PT Astra Serif" w:hAnsi="PT Astra Serif"/>
          <w:b/>
          <w:color w:val="365F91" w:themeColor="accent1" w:themeShade="BF"/>
          <w:sz w:val="56"/>
          <w:szCs w:val="40"/>
        </w:rPr>
      </w:pPr>
      <w:r w:rsidRPr="007D0643">
        <w:rPr>
          <w:rFonts w:ascii="PT Astra Serif" w:hAnsi="PT Astra Serif"/>
          <w:b/>
          <w:color w:val="365F91" w:themeColor="accent1" w:themeShade="BF"/>
          <w:sz w:val="56"/>
          <w:szCs w:val="40"/>
        </w:rPr>
        <w:t xml:space="preserve">города Ханты-Мансийска </w:t>
      </w:r>
    </w:p>
    <w:p w:rsidR="00891077" w:rsidRPr="007D0643" w:rsidRDefault="00D415FB" w:rsidP="00BA5DFF">
      <w:pPr>
        <w:pStyle w:val="a4"/>
        <w:spacing w:after="0" w:line="240" w:lineRule="auto"/>
        <w:ind w:left="0"/>
        <w:jc w:val="center"/>
        <w:rPr>
          <w:rFonts w:ascii="PT Astra Serif" w:hAnsi="PT Astra Serif"/>
          <w:b/>
          <w:color w:val="365F91" w:themeColor="accent1" w:themeShade="BF"/>
          <w:sz w:val="56"/>
          <w:szCs w:val="40"/>
        </w:rPr>
      </w:pPr>
      <w:r w:rsidRPr="007D0643">
        <w:rPr>
          <w:rFonts w:ascii="PT Astra Serif" w:hAnsi="PT Astra Serif"/>
          <w:b/>
          <w:color w:val="365F91" w:themeColor="accent1" w:themeShade="BF"/>
          <w:sz w:val="56"/>
          <w:szCs w:val="40"/>
        </w:rPr>
        <w:t>за 20</w:t>
      </w:r>
      <w:r w:rsidR="00BA5DFF" w:rsidRPr="007D0643">
        <w:rPr>
          <w:rFonts w:ascii="PT Astra Serif" w:hAnsi="PT Astra Serif"/>
          <w:b/>
          <w:color w:val="365F91" w:themeColor="accent1" w:themeShade="BF"/>
          <w:sz w:val="56"/>
          <w:szCs w:val="40"/>
        </w:rPr>
        <w:t>20</w:t>
      </w:r>
      <w:r w:rsidRPr="007D0643">
        <w:rPr>
          <w:rFonts w:ascii="PT Astra Serif" w:hAnsi="PT Astra Serif"/>
          <w:b/>
          <w:color w:val="365F91" w:themeColor="accent1" w:themeShade="BF"/>
          <w:sz w:val="56"/>
          <w:szCs w:val="40"/>
        </w:rPr>
        <w:t xml:space="preserve"> год</w:t>
      </w:r>
    </w:p>
    <w:p w:rsidR="00891077" w:rsidRPr="007D0643" w:rsidRDefault="00891077">
      <w:pPr>
        <w:pStyle w:val="a4"/>
        <w:spacing w:after="0" w:line="240" w:lineRule="auto"/>
        <w:ind w:left="0"/>
        <w:jc w:val="center"/>
        <w:rPr>
          <w:rFonts w:ascii="PT Astra Serif" w:hAnsi="PT Astra Serif"/>
          <w:b/>
          <w:color w:val="365F91" w:themeColor="accent1" w:themeShade="BF"/>
          <w:sz w:val="40"/>
          <w:szCs w:val="40"/>
        </w:rPr>
      </w:pPr>
    </w:p>
    <w:p w:rsidR="00891077" w:rsidRPr="007D0643" w:rsidRDefault="00891077">
      <w:pPr>
        <w:pStyle w:val="a4"/>
        <w:spacing w:after="0" w:line="240" w:lineRule="auto"/>
        <w:ind w:left="714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D415FB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40"/>
          <w:szCs w:val="28"/>
        </w:rPr>
      </w:pPr>
      <w:r w:rsidRPr="007D0643">
        <w:rPr>
          <w:rFonts w:ascii="PT Astra Serif" w:hAnsi="PT Astra Serif"/>
          <w:b/>
          <w:color w:val="365F91" w:themeColor="accent1" w:themeShade="BF"/>
          <w:sz w:val="40"/>
          <w:szCs w:val="28"/>
        </w:rPr>
        <w:t xml:space="preserve">г. </w:t>
      </w:r>
      <w:r w:rsidR="00BA5DFF" w:rsidRPr="007D0643">
        <w:rPr>
          <w:rFonts w:ascii="PT Astra Serif" w:hAnsi="PT Astra Serif"/>
          <w:b/>
          <w:color w:val="365F91" w:themeColor="accent1" w:themeShade="BF"/>
          <w:sz w:val="40"/>
          <w:szCs w:val="28"/>
        </w:rPr>
        <w:t>Ханты-Мансийск</w:t>
      </w:r>
    </w:p>
    <w:p w:rsidR="00891077" w:rsidRPr="007D0643" w:rsidRDefault="00BA5DFF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40"/>
          <w:szCs w:val="28"/>
        </w:rPr>
      </w:pPr>
      <w:r w:rsidRPr="007D0643">
        <w:rPr>
          <w:rFonts w:ascii="PT Astra Serif" w:hAnsi="PT Astra Serif"/>
          <w:b/>
          <w:color w:val="365F91" w:themeColor="accent1" w:themeShade="BF"/>
          <w:sz w:val="40"/>
          <w:szCs w:val="28"/>
        </w:rPr>
        <w:t>2021</w:t>
      </w:r>
      <w:r w:rsidR="00D415FB" w:rsidRPr="007D0643">
        <w:rPr>
          <w:rFonts w:ascii="PT Astra Serif" w:hAnsi="PT Astra Serif"/>
          <w:b/>
          <w:color w:val="365F91" w:themeColor="accent1" w:themeShade="BF"/>
          <w:sz w:val="40"/>
          <w:szCs w:val="28"/>
        </w:rPr>
        <w:t xml:space="preserve"> г.</w:t>
      </w:r>
    </w:p>
    <w:p w:rsidR="00BA5DFF" w:rsidRDefault="00D415FB" w:rsidP="00187E18">
      <w:pPr>
        <w:spacing w:after="0"/>
        <w:jc w:val="center"/>
        <w:rPr>
          <w:rFonts w:ascii="PT Astra Serif" w:hAnsi="PT Astra Serif"/>
          <w:b/>
          <w:color w:val="000000"/>
          <w:sz w:val="28"/>
          <w:szCs w:val="24"/>
        </w:rPr>
      </w:pPr>
      <w:r>
        <w:rPr>
          <w:rFonts w:ascii="PT Astra Serif" w:hAnsi="PT Astra Serif"/>
          <w:b/>
          <w:color w:val="000000"/>
          <w:sz w:val="28"/>
          <w:szCs w:val="24"/>
        </w:rPr>
        <w:lastRenderedPageBreak/>
        <w:t xml:space="preserve">Итоги реализации </w:t>
      </w:r>
    </w:p>
    <w:p w:rsidR="00891077" w:rsidRDefault="00D415FB" w:rsidP="00187E18">
      <w:pPr>
        <w:spacing w:after="0"/>
        <w:jc w:val="center"/>
        <w:rPr>
          <w:rFonts w:ascii="PT Astra Serif" w:hAnsi="PT Astra Serif"/>
          <w:b/>
          <w:color w:val="000000"/>
          <w:sz w:val="28"/>
          <w:szCs w:val="24"/>
        </w:rPr>
      </w:pPr>
      <w:r>
        <w:rPr>
          <w:rFonts w:ascii="PT Astra Serif" w:hAnsi="PT Astra Serif"/>
          <w:b/>
          <w:color w:val="000000"/>
          <w:sz w:val="28"/>
          <w:szCs w:val="24"/>
        </w:rPr>
        <w:t>муниципальных программ</w:t>
      </w:r>
      <w:r w:rsidR="00BA5DFF">
        <w:rPr>
          <w:rFonts w:ascii="PT Astra Serif" w:hAnsi="PT Astra Serif"/>
          <w:b/>
          <w:color w:val="000000"/>
          <w:sz w:val="28"/>
          <w:szCs w:val="24"/>
        </w:rPr>
        <w:t xml:space="preserve"> города Ханты-Мансийска</w:t>
      </w:r>
      <w:r>
        <w:rPr>
          <w:rFonts w:ascii="PT Astra Serif" w:hAnsi="PT Astra Serif"/>
          <w:b/>
          <w:color w:val="000000"/>
          <w:sz w:val="28"/>
          <w:szCs w:val="24"/>
        </w:rPr>
        <w:t xml:space="preserve"> </w:t>
      </w:r>
    </w:p>
    <w:p w:rsidR="00891077" w:rsidRDefault="00D415FB" w:rsidP="00187E18">
      <w:pPr>
        <w:tabs>
          <w:tab w:val="left" w:pos="-142"/>
        </w:tabs>
        <w:spacing w:after="0"/>
        <w:jc w:val="center"/>
        <w:rPr>
          <w:rFonts w:ascii="PT Astra Serif" w:hAnsi="PT Astra Serif"/>
          <w:b/>
          <w:color w:val="000000"/>
          <w:sz w:val="28"/>
          <w:szCs w:val="24"/>
        </w:rPr>
      </w:pPr>
      <w:r>
        <w:rPr>
          <w:rFonts w:ascii="PT Astra Serif" w:hAnsi="PT Astra Serif"/>
          <w:b/>
          <w:color w:val="000000"/>
          <w:sz w:val="28"/>
          <w:szCs w:val="24"/>
        </w:rPr>
        <w:t>в 20</w:t>
      </w:r>
      <w:r w:rsidR="00BA5DFF">
        <w:rPr>
          <w:rFonts w:ascii="PT Astra Serif" w:hAnsi="PT Astra Serif"/>
          <w:b/>
          <w:color w:val="000000"/>
          <w:sz w:val="28"/>
          <w:szCs w:val="24"/>
        </w:rPr>
        <w:t>20</w:t>
      </w:r>
      <w:r>
        <w:rPr>
          <w:rFonts w:ascii="PT Astra Serif" w:hAnsi="PT Astra Serif"/>
          <w:b/>
          <w:color w:val="000000"/>
          <w:sz w:val="28"/>
          <w:szCs w:val="24"/>
        </w:rPr>
        <w:t xml:space="preserve"> году</w:t>
      </w:r>
    </w:p>
    <w:p w:rsidR="00891077" w:rsidRDefault="00891077" w:rsidP="00187E18">
      <w:pPr>
        <w:tabs>
          <w:tab w:val="left" w:pos="-142"/>
        </w:tabs>
        <w:spacing w:after="120"/>
        <w:ind w:right="-143" w:firstLine="709"/>
        <w:jc w:val="both"/>
        <w:rPr>
          <w:rFonts w:ascii="PT Astra Serif" w:hAnsi="PT Astra Serif"/>
          <w:b/>
          <w:color w:val="003399"/>
          <w:sz w:val="24"/>
          <w:szCs w:val="24"/>
        </w:rPr>
      </w:pPr>
    </w:p>
    <w:p w:rsidR="00891077" w:rsidRPr="003232A7" w:rsidRDefault="00D415FB" w:rsidP="00187E18">
      <w:pPr>
        <w:tabs>
          <w:tab w:val="left" w:pos="-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32A7">
        <w:rPr>
          <w:rFonts w:ascii="Times New Roman" w:hAnsi="Times New Roman"/>
          <w:sz w:val="28"/>
          <w:szCs w:val="28"/>
        </w:rPr>
        <w:t>Основным инструментом достижения цел</w:t>
      </w:r>
      <w:r w:rsidR="003715A4" w:rsidRPr="003232A7">
        <w:rPr>
          <w:rFonts w:ascii="Times New Roman" w:hAnsi="Times New Roman"/>
          <w:sz w:val="28"/>
          <w:szCs w:val="28"/>
        </w:rPr>
        <w:t>ей</w:t>
      </w:r>
      <w:r w:rsidRPr="003232A7">
        <w:rPr>
          <w:rFonts w:ascii="Times New Roman" w:hAnsi="Times New Roman"/>
          <w:sz w:val="28"/>
          <w:szCs w:val="28"/>
        </w:rPr>
        <w:t xml:space="preserve"> и решения наиболее важных задач </w:t>
      </w:r>
      <w:r w:rsidR="00F3586D" w:rsidRPr="003232A7">
        <w:rPr>
          <w:rFonts w:ascii="Times New Roman" w:hAnsi="Times New Roman"/>
          <w:sz w:val="28"/>
          <w:szCs w:val="28"/>
        </w:rPr>
        <w:t xml:space="preserve">социально-экономического развития города </w:t>
      </w:r>
      <w:r w:rsidRPr="003232A7">
        <w:rPr>
          <w:rFonts w:ascii="Times New Roman" w:hAnsi="Times New Roman"/>
          <w:sz w:val="28"/>
          <w:szCs w:val="28"/>
        </w:rPr>
        <w:t xml:space="preserve">являются муниципальные  программы. </w:t>
      </w:r>
    </w:p>
    <w:p w:rsidR="00891077" w:rsidRPr="003232A7" w:rsidRDefault="002C797F" w:rsidP="00187E18">
      <w:pPr>
        <w:tabs>
          <w:tab w:val="left" w:pos="-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32A7">
        <w:rPr>
          <w:rFonts w:ascii="Times New Roman" w:hAnsi="Times New Roman"/>
          <w:sz w:val="28"/>
          <w:szCs w:val="28"/>
        </w:rPr>
        <w:t>В 2020 году м</w:t>
      </w:r>
      <w:r w:rsidR="00D415FB" w:rsidRPr="003232A7">
        <w:rPr>
          <w:rFonts w:ascii="Times New Roman" w:hAnsi="Times New Roman"/>
          <w:sz w:val="28"/>
          <w:szCs w:val="28"/>
        </w:rPr>
        <w:t xml:space="preserve">униципальные  программы </w:t>
      </w:r>
      <w:r w:rsidR="00BA5DFF" w:rsidRPr="003232A7">
        <w:rPr>
          <w:rFonts w:ascii="Times New Roman" w:hAnsi="Times New Roman"/>
          <w:sz w:val="28"/>
          <w:szCs w:val="28"/>
        </w:rPr>
        <w:t xml:space="preserve">города Ханты-Мансийска </w:t>
      </w:r>
      <w:r w:rsidR="00D415FB" w:rsidRPr="003232A7">
        <w:rPr>
          <w:rFonts w:ascii="Times New Roman" w:hAnsi="Times New Roman"/>
          <w:sz w:val="28"/>
          <w:szCs w:val="28"/>
        </w:rPr>
        <w:t xml:space="preserve">были направлены на реализацию важнейших приоритетов, предусмотренных в стратегии социально-экономического развития города </w:t>
      </w:r>
      <w:r w:rsidR="00BA5DFF" w:rsidRPr="003232A7">
        <w:rPr>
          <w:rFonts w:ascii="Times New Roman" w:hAnsi="Times New Roman"/>
          <w:sz w:val="28"/>
          <w:szCs w:val="28"/>
        </w:rPr>
        <w:t>Ханты-Мансийск</w:t>
      </w:r>
      <w:r w:rsidR="004A104A" w:rsidRPr="003232A7">
        <w:rPr>
          <w:rFonts w:ascii="Times New Roman" w:hAnsi="Times New Roman"/>
          <w:sz w:val="28"/>
          <w:szCs w:val="28"/>
        </w:rPr>
        <w:t>а</w:t>
      </w:r>
      <w:r w:rsidR="00D415FB" w:rsidRPr="003232A7">
        <w:rPr>
          <w:rFonts w:ascii="Times New Roman" w:hAnsi="Times New Roman"/>
          <w:sz w:val="28"/>
          <w:szCs w:val="28"/>
        </w:rPr>
        <w:t xml:space="preserve"> </w:t>
      </w:r>
      <w:r w:rsidR="006A2C8D" w:rsidRPr="003232A7">
        <w:rPr>
          <w:rFonts w:ascii="Times New Roman" w:hAnsi="Times New Roman"/>
          <w:sz w:val="28"/>
          <w:szCs w:val="28"/>
        </w:rPr>
        <w:t>до</w:t>
      </w:r>
      <w:r w:rsidR="00D415FB" w:rsidRPr="003232A7">
        <w:rPr>
          <w:rFonts w:ascii="Times New Roman" w:hAnsi="Times New Roman"/>
          <w:sz w:val="28"/>
          <w:szCs w:val="28"/>
        </w:rPr>
        <w:t xml:space="preserve"> 20</w:t>
      </w:r>
      <w:r w:rsidR="006A2C8D" w:rsidRPr="003232A7">
        <w:rPr>
          <w:rFonts w:ascii="Times New Roman" w:hAnsi="Times New Roman"/>
          <w:sz w:val="28"/>
          <w:szCs w:val="28"/>
        </w:rPr>
        <w:t xml:space="preserve">20 год и на период </w:t>
      </w:r>
      <w:r w:rsidR="00D415FB" w:rsidRPr="003232A7">
        <w:rPr>
          <w:rFonts w:ascii="Times New Roman" w:hAnsi="Times New Roman"/>
          <w:sz w:val="28"/>
          <w:szCs w:val="28"/>
        </w:rPr>
        <w:t>до 20</w:t>
      </w:r>
      <w:r w:rsidR="006A2C8D" w:rsidRPr="003232A7">
        <w:rPr>
          <w:rFonts w:ascii="Times New Roman" w:hAnsi="Times New Roman"/>
          <w:sz w:val="28"/>
          <w:szCs w:val="28"/>
        </w:rPr>
        <w:t>3</w:t>
      </w:r>
      <w:r w:rsidR="00D415FB" w:rsidRPr="003232A7">
        <w:rPr>
          <w:rFonts w:ascii="Times New Roman" w:hAnsi="Times New Roman"/>
          <w:sz w:val="28"/>
          <w:szCs w:val="28"/>
        </w:rPr>
        <w:t>0 года:</w:t>
      </w:r>
    </w:p>
    <w:p w:rsidR="006A2C8D" w:rsidRPr="003232A7" w:rsidRDefault="006A2C8D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u w:val="single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u w:val="single"/>
          <w:lang w:eastAsia="ko-KR"/>
        </w:rPr>
        <w:t>с целью формирования конкурентоспособной экономики, ориентированной на инновации:</w:t>
      </w:r>
    </w:p>
    <w:p w:rsidR="006A2C8D" w:rsidRPr="003232A7" w:rsidRDefault="00D87CC1" w:rsidP="00187E18">
      <w:pPr>
        <w:tabs>
          <w:tab w:val="left" w:pos="993"/>
        </w:tabs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азвитие </w:t>
      </w:r>
      <w:proofErr w:type="gramStart"/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реального</w:t>
      </w:r>
      <w:proofErr w:type="gramEnd"/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сектора экономики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tabs>
          <w:tab w:val="left" w:pos="993"/>
        </w:tabs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-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азвитие агропромышленного комплекса, </w:t>
      </w:r>
      <w:proofErr w:type="gramStart"/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местной</w:t>
      </w:r>
      <w:proofErr w:type="gramEnd"/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пищевой промышленности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tabs>
          <w:tab w:val="left" w:pos="993"/>
        </w:tabs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-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о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беспечение благоприятного инвестиционного климата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tabs>
          <w:tab w:val="left" w:pos="993"/>
        </w:tabs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п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овышение роли малого и среднего предпринимательства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tabs>
          <w:tab w:val="left" w:pos="993"/>
        </w:tabs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и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нновационное развитие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tabs>
          <w:tab w:val="left" w:pos="993"/>
        </w:tabs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азвитие сектора услуг, потребительского рынка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6A2C8D" w:rsidP="00187E18">
      <w:pPr>
        <w:spacing w:before="120" w:after="0"/>
        <w:ind w:firstLine="709"/>
        <w:jc w:val="both"/>
        <w:rPr>
          <w:rFonts w:ascii="Times New Roman" w:eastAsia="Batang" w:hAnsi="Times New Roman"/>
          <w:sz w:val="28"/>
          <w:szCs w:val="28"/>
          <w:u w:val="single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u w:val="single"/>
          <w:lang w:eastAsia="ko-KR"/>
        </w:rPr>
        <w:t>с целью реализации человеческого потенциала:</w:t>
      </w:r>
    </w:p>
    <w:p w:rsidR="006A2C8D" w:rsidRPr="003232A7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азвитие сферы социально-трудовых отношений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азвитие жилищной сферы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с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нижение уровня социального неравенства, активизация социального потенциала населения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азвитие образования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еализация социально-демографической политики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-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азвитие культуры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азвитие внутреннего и въездного туризма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азвитие физической культуры и массового спорта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еализация молодежной политики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6A2C8D" w:rsidP="00187E18">
      <w:pPr>
        <w:spacing w:before="120" w:after="0"/>
        <w:ind w:firstLine="709"/>
        <w:jc w:val="both"/>
        <w:rPr>
          <w:rFonts w:ascii="Times New Roman" w:eastAsia="Batang" w:hAnsi="Times New Roman"/>
          <w:sz w:val="28"/>
          <w:szCs w:val="28"/>
          <w:u w:val="single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u w:val="single"/>
          <w:lang w:eastAsia="ko-KR"/>
        </w:rPr>
        <w:t>с целью обеспечения комфортности городской среды:</w:t>
      </w:r>
    </w:p>
    <w:p w:rsidR="006A2C8D" w:rsidRPr="003232A7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-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азвитие транспортной инфраструктуры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-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к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омплексное развитие систем коммунальной, энергетической и коммуникационной инфраструктур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с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овершенствование системы предупреждения и защиты населения от чрезвычайных ситуаций природного и техногенного характера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о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беспечение личной безопасности граждан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6A2C8D" w:rsidP="00187E18">
      <w:pPr>
        <w:spacing w:before="120" w:after="0"/>
        <w:ind w:firstLine="709"/>
        <w:jc w:val="both"/>
        <w:rPr>
          <w:rFonts w:ascii="Times New Roman" w:eastAsia="Batang" w:hAnsi="Times New Roman"/>
          <w:sz w:val="28"/>
          <w:szCs w:val="28"/>
          <w:u w:val="single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u w:val="single"/>
          <w:lang w:eastAsia="ko-KR"/>
        </w:rPr>
        <w:t>с целью совершенствования системы местного самоуправления:</w:t>
      </w:r>
    </w:p>
    <w:p w:rsidR="006A2C8D" w:rsidRPr="003232A7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lastRenderedPageBreak/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п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овышение эффективности муниципального управления на основе использования </w:t>
      </w:r>
      <w:proofErr w:type="gramStart"/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современных</w:t>
      </w:r>
      <w:proofErr w:type="gramEnd"/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информационно-коммуникационных технологий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п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рофессиональное развитие муниципальных служащих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ациональное и результативное управление бюджетным процессом и муниципальной собственностью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азвитие межмуниципального сотрудничества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азвитие средств массовой информации.</w:t>
      </w:r>
    </w:p>
    <w:p w:rsidR="00891077" w:rsidRPr="003232A7" w:rsidRDefault="00891077" w:rsidP="00187E18">
      <w:pPr>
        <w:tabs>
          <w:tab w:val="left" w:pos="-142"/>
          <w:tab w:val="left" w:pos="1134"/>
        </w:tabs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077" w:rsidRPr="003232A7" w:rsidRDefault="00D415FB" w:rsidP="00187E18">
      <w:pPr>
        <w:pStyle w:val="ConsTitle"/>
        <w:widowControl/>
        <w:tabs>
          <w:tab w:val="left" w:pos="-142"/>
        </w:tabs>
        <w:spacing w:after="120" w:line="276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32A7">
        <w:rPr>
          <w:rFonts w:ascii="Times New Roman" w:hAnsi="Times New Roman" w:cs="Times New Roman"/>
          <w:b w:val="0"/>
          <w:sz w:val="28"/>
          <w:szCs w:val="28"/>
        </w:rPr>
        <w:t>В отчетном периоде на территории город</w:t>
      </w:r>
      <w:r w:rsidR="004A104A" w:rsidRPr="003232A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были реализованы мероприятия </w:t>
      </w:r>
      <w:r w:rsidR="004A104A" w:rsidRPr="003232A7">
        <w:rPr>
          <w:rFonts w:ascii="Times New Roman" w:hAnsi="Times New Roman" w:cs="Times New Roman"/>
          <w:b w:val="0"/>
          <w:sz w:val="28"/>
          <w:szCs w:val="28"/>
        </w:rPr>
        <w:t>20</w:t>
      </w:r>
      <w:r w:rsidR="00BF4411" w:rsidRPr="003232A7">
        <w:rPr>
          <w:rFonts w:ascii="Times New Roman" w:hAnsi="Times New Roman" w:cs="Times New Roman"/>
          <w:b w:val="0"/>
          <w:sz w:val="28"/>
          <w:szCs w:val="28"/>
        </w:rPr>
        <w:t>-ти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муниципальны</w:t>
      </w:r>
      <w:r w:rsidR="00BF4411" w:rsidRPr="003232A7">
        <w:rPr>
          <w:rFonts w:ascii="Times New Roman" w:hAnsi="Times New Roman" w:cs="Times New Roman"/>
          <w:b w:val="0"/>
          <w:sz w:val="28"/>
          <w:szCs w:val="28"/>
        </w:rPr>
        <w:t>х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F3586D" w:rsidRPr="003232A7">
        <w:rPr>
          <w:rFonts w:ascii="Times New Roman" w:hAnsi="Times New Roman" w:cs="Times New Roman"/>
          <w:b w:val="0"/>
          <w:sz w:val="28"/>
          <w:szCs w:val="28"/>
        </w:rPr>
        <w:t>, н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>а</w:t>
      </w:r>
      <w:r w:rsidR="009266C2" w:rsidRPr="003232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реализацию </w:t>
      </w:r>
      <w:r w:rsidR="00F3586D" w:rsidRPr="003232A7">
        <w:rPr>
          <w:rFonts w:ascii="Times New Roman" w:hAnsi="Times New Roman" w:cs="Times New Roman"/>
          <w:b w:val="0"/>
          <w:sz w:val="28"/>
          <w:szCs w:val="28"/>
        </w:rPr>
        <w:t>которых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3586D" w:rsidRPr="003232A7">
        <w:rPr>
          <w:rFonts w:ascii="Times New Roman" w:hAnsi="Times New Roman" w:cs="Times New Roman"/>
          <w:b w:val="0"/>
          <w:sz w:val="28"/>
          <w:szCs w:val="28"/>
        </w:rPr>
        <w:t xml:space="preserve">было 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>предусм</w:t>
      </w:r>
      <w:r w:rsidR="00F3586D" w:rsidRPr="003232A7">
        <w:rPr>
          <w:rFonts w:ascii="Times New Roman" w:hAnsi="Times New Roman" w:cs="Times New Roman"/>
          <w:b w:val="0"/>
          <w:sz w:val="28"/>
          <w:szCs w:val="28"/>
        </w:rPr>
        <w:t>отрено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направить 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12 77</w:t>
      </w:r>
      <w:r w:rsidR="004A4B07" w:rsidRPr="003232A7">
        <w:rPr>
          <w:rFonts w:ascii="Times New Roman" w:hAnsi="Times New Roman" w:cs="Times New Roman"/>
          <w:b w:val="0"/>
          <w:sz w:val="28"/>
          <w:szCs w:val="28"/>
        </w:rPr>
        <w:t>5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 </w:t>
      </w:r>
      <w:r w:rsidR="004A4B07" w:rsidRPr="003232A7">
        <w:rPr>
          <w:rFonts w:ascii="Times New Roman" w:hAnsi="Times New Roman" w:cs="Times New Roman"/>
          <w:b w:val="0"/>
          <w:sz w:val="28"/>
          <w:szCs w:val="28"/>
        </w:rPr>
        <w:t>105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,</w:t>
      </w:r>
      <w:r w:rsidR="004A4B07" w:rsidRPr="003232A7">
        <w:rPr>
          <w:rFonts w:ascii="Times New Roman" w:hAnsi="Times New Roman" w:cs="Times New Roman"/>
          <w:b w:val="0"/>
          <w:sz w:val="28"/>
          <w:szCs w:val="28"/>
        </w:rPr>
        <w:t>1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 тыс. рублей, в том числе за счет средств бюджета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 xml:space="preserve"> города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-  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4 295</w:t>
      </w:r>
      <w:r w:rsidR="004A4B07" w:rsidRPr="003232A7">
        <w:rPr>
          <w:rFonts w:ascii="Times New Roman" w:hAnsi="Times New Roman" w:cs="Times New Roman"/>
          <w:b w:val="0"/>
          <w:sz w:val="28"/>
          <w:szCs w:val="28"/>
        </w:rPr>
        <w:t> 550,4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тыс. рублей, бюджета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 xml:space="preserve"> автономного округа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8 400 632,2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тыс. рублей, федерального бюджета – 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78 922,5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тыс. рублей. Фактическое исполнение составило 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11 657 </w:t>
      </w:r>
      <w:r w:rsidR="00FB191F" w:rsidRPr="003232A7">
        <w:rPr>
          <w:rFonts w:ascii="Times New Roman" w:hAnsi="Times New Roman" w:cs="Times New Roman"/>
          <w:b w:val="0"/>
          <w:sz w:val="28"/>
          <w:szCs w:val="28"/>
        </w:rPr>
        <w:t>929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,</w:t>
      </w:r>
      <w:r w:rsidR="00FB191F" w:rsidRPr="003232A7">
        <w:rPr>
          <w:rFonts w:ascii="Times New Roman" w:hAnsi="Times New Roman" w:cs="Times New Roman"/>
          <w:b w:val="0"/>
          <w:sz w:val="28"/>
          <w:szCs w:val="28"/>
        </w:rPr>
        <w:t>9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 тыс. рублей, в том числе за счет средств бюджета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 xml:space="preserve"> города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4 12</w:t>
      </w:r>
      <w:r w:rsidR="00FB191F" w:rsidRPr="003232A7">
        <w:rPr>
          <w:rFonts w:ascii="Times New Roman" w:hAnsi="Times New Roman" w:cs="Times New Roman"/>
          <w:b w:val="0"/>
          <w:sz w:val="28"/>
          <w:szCs w:val="28"/>
        </w:rPr>
        <w:t>3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 </w:t>
      </w:r>
      <w:r w:rsidR="00FB191F" w:rsidRPr="003232A7">
        <w:rPr>
          <w:rFonts w:ascii="Times New Roman" w:hAnsi="Times New Roman" w:cs="Times New Roman"/>
          <w:b w:val="0"/>
          <w:sz w:val="28"/>
          <w:szCs w:val="28"/>
        </w:rPr>
        <w:t>098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,</w:t>
      </w:r>
      <w:r w:rsidR="00FB191F" w:rsidRPr="003232A7">
        <w:rPr>
          <w:rFonts w:ascii="Times New Roman" w:hAnsi="Times New Roman" w:cs="Times New Roman"/>
          <w:b w:val="0"/>
          <w:sz w:val="28"/>
          <w:szCs w:val="28"/>
        </w:rPr>
        <w:t>6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тыс. рублей, бюджета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 xml:space="preserve"> автономного округа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7 468 442,6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тыс. рублей, федерального бюджета – 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66 388,6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тыс. рублей.</w:t>
      </w:r>
    </w:p>
    <w:p w:rsidR="00187E18" w:rsidRDefault="00187E18">
      <w:pPr>
        <w:pStyle w:val="ConsTitle"/>
        <w:widowControl/>
        <w:tabs>
          <w:tab w:val="left" w:pos="-142"/>
        </w:tabs>
        <w:spacing w:after="120"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91077" w:rsidRPr="003232A7" w:rsidRDefault="00D415FB">
      <w:pPr>
        <w:pStyle w:val="ConsTitle"/>
        <w:widowControl/>
        <w:tabs>
          <w:tab w:val="left" w:pos="-142"/>
        </w:tabs>
        <w:spacing w:after="120" w:line="276" w:lineRule="auto"/>
        <w:ind w:right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232A7">
        <w:rPr>
          <w:rFonts w:ascii="Times New Roman" w:hAnsi="Times New Roman" w:cs="Times New Roman"/>
          <w:sz w:val="28"/>
          <w:szCs w:val="28"/>
        </w:rPr>
        <w:t>Исполнение муниципальных программ за 20</w:t>
      </w:r>
      <w:r w:rsidR="004A104A" w:rsidRPr="003232A7">
        <w:rPr>
          <w:rFonts w:ascii="Times New Roman" w:hAnsi="Times New Roman" w:cs="Times New Roman"/>
          <w:sz w:val="28"/>
          <w:szCs w:val="28"/>
        </w:rPr>
        <w:t>20</w:t>
      </w:r>
      <w:r w:rsidRPr="003232A7">
        <w:rPr>
          <w:rFonts w:ascii="Times New Roman" w:hAnsi="Times New Roman" w:cs="Times New Roman"/>
          <w:sz w:val="28"/>
          <w:szCs w:val="28"/>
        </w:rPr>
        <w:t xml:space="preserve"> год, </w:t>
      </w:r>
      <w:r w:rsidR="00ED3FD5" w:rsidRPr="003232A7">
        <w:rPr>
          <w:rFonts w:ascii="Times New Roman" w:hAnsi="Times New Roman" w:cs="Times New Roman"/>
          <w:sz w:val="28"/>
          <w:szCs w:val="28"/>
        </w:rPr>
        <w:t>млн</w:t>
      </w:r>
      <w:r w:rsidRPr="003232A7">
        <w:rPr>
          <w:rFonts w:ascii="Times New Roman" w:hAnsi="Times New Roman" w:cs="Times New Roman"/>
          <w:sz w:val="28"/>
          <w:szCs w:val="28"/>
        </w:rPr>
        <w:t>.</w:t>
      </w:r>
      <w:r w:rsidR="004A104A" w:rsidRPr="003232A7">
        <w:rPr>
          <w:rFonts w:ascii="Times New Roman" w:hAnsi="Times New Roman" w:cs="Times New Roman"/>
          <w:sz w:val="28"/>
          <w:szCs w:val="28"/>
        </w:rPr>
        <w:t xml:space="preserve"> </w:t>
      </w:r>
      <w:r w:rsidRPr="003232A7">
        <w:rPr>
          <w:rFonts w:ascii="Times New Roman" w:hAnsi="Times New Roman" w:cs="Times New Roman"/>
          <w:sz w:val="28"/>
          <w:szCs w:val="28"/>
        </w:rPr>
        <w:t>руб</w:t>
      </w:r>
      <w:r w:rsidR="004A104A" w:rsidRPr="003232A7">
        <w:rPr>
          <w:rFonts w:ascii="Times New Roman" w:hAnsi="Times New Roman" w:cs="Times New Roman"/>
          <w:sz w:val="28"/>
          <w:szCs w:val="28"/>
        </w:rPr>
        <w:t>лей</w:t>
      </w:r>
    </w:p>
    <w:p w:rsidR="00391C2D" w:rsidRDefault="00391C2D">
      <w:pPr>
        <w:pStyle w:val="ConsTitle"/>
        <w:widowControl/>
        <w:tabs>
          <w:tab w:val="left" w:pos="-142"/>
        </w:tabs>
        <w:spacing w:after="120" w:line="276" w:lineRule="auto"/>
        <w:ind w:right="0"/>
        <w:jc w:val="center"/>
      </w:pPr>
      <w:r>
        <w:rPr>
          <w:noProof/>
        </w:rPr>
        <w:drawing>
          <wp:inline distT="0" distB="0" distL="0" distR="0" wp14:anchorId="0DB78E89" wp14:editId="55E3CF85">
            <wp:extent cx="5995284" cy="3323645"/>
            <wp:effectExtent l="0" t="0" r="24765" b="101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3586D" w:rsidRDefault="00F3586D" w:rsidP="00EA1F1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91077" w:rsidRPr="003232A7" w:rsidRDefault="00F3586D" w:rsidP="00187E18">
      <w:pPr>
        <w:spacing w:after="0"/>
        <w:ind w:firstLine="709"/>
        <w:jc w:val="both"/>
        <w:rPr>
          <w:sz w:val="28"/>
          <w:szCs w:val="28"/>
        </w:rPr>
      </w:pPr>
      <w:r w:rsidRPr="003232A7">
        <w:rPr>
          <w:rFonts w:ascii="PT Astra Serif" w:hAnsi="PT Astra Serif"/>
          <w:sz w:val="28"/>
          <w:szCs w:val="28"/>
        </w:rPr>
        <w:t>В разрезе источников наиб</w:t>
      </w:r>
      <w:r w:rsidR="00D415FB" w:rsidRPr="003232A7">
        <w:rPr>
          <w:rFonts w:ascii="PT Astra Serif" w:hAnsi="PT Astra Serif"/>
          <w:sz w:val="28"/>
          <w:szCs w:val="28"/>
        </w:rPr>
        <w:t>ольшую долю в финансировании муниципальных программ составляют средства бюджета</w:t>
      </w:r>
      <w:r w:rsidR="003715A4" w:rsidRPr="003232A7">
        <w:rPr>
          <w:rFonts w:ascii="PT Astra Serif" w:hAnsi="PT Astra Serif"/>
          <w:sz w:val="28"/>
          <w:szCs w:val="28"/>
        </w:rPr>
        <w:t xml:space="preserve"> автономного округа</w:t>
      </w:r>
      <w:r w:rsidR="00D415FB" w:rsidRPr="003232A7">
        <w:rPr>
          <w:rFonts w:ascii="PT Astra Serif" w:hAnsi="PT Astra Serif"/>
          <w:sz w:val="28"/>
          <w:szCs w:val="28"/>
        </w:rPr>
        <w:t xml:space="preserve"> (</w:t>
      </w:r>
      <w:r w:rsidR="003715A4" w:rsidRPr="003232A7">
        <w:rPr>
          <w:rFonts w:ascii="PT Astra Serif" w:hAnsi="PT Astra Serif"/>
          <w:sz w:val="28"/>
          <w:szCs w:val="28"/>
        </w:rPr>
        <w:t>64</w:t>
      </w:r>
      <w:r w:rsidR="00D415FB" w:rsidRPr="003232A7">
        <w:rPr>
          <w:rFonts w:ascii="PT Astra Serif" w:hAnsi="PT Astra Serif"/>
          <w:sz w:val="28"/>
          <w:szCs w:val="28"/>
        </w:rPr>
        <w:t>%), остальная часть финансовых сре</w:t>
      </w:r>
      <w:proofErr w:type="gramStart"/>
      <w:r w:rsidR="00D415FB" w:rsidRPr="003232A7">
        <w:rPr>
          <w:rFonts w:ascii="PT Astra Serif" w:hAnsi="PT Astra Serif"/>
          <w:sz w:val="28"/>
          <w:szCs w:val="28"/>
        </w:rPr>
        <w:t>дств пр</w:t>
      </w:r>
      <w:proofErr w:type="gramEnd"/>
      <w:r w:rsidR="00D415FB" w:rsidRPr="003232A7">
        <w:rPr>
          <w:rFonts w:ascii="PT Astra Serif" w:hAnsi="PT Astra Serif"/>
          <w:sz w:val="28"/>
          <w:szCs w:val="28"/>
        </w:rPr>
        <w:t xml:space="preserve">иходится на </w:t>
      </w:r>
      <w:r w:rsidR="003715A4" w:rsidRPr="003232A7">
        <w:rPr>
          <w:rFonts w:ascii="PT Astra Serif" w:hAnsi="PT Astra Serif"/>
          <w:sz w:val="28"/>
          <w:szCs w:val="28"/>
        </w:rPr>
        <w:t>бюджет города</w:t>
      </w:r>
      <w:r w:rsidR="00D415FB" w:rsidRPr="003232A7">
        <w:rPr>
          <w:rFonts w:ascii="PT Astra Serif" w:hAnsi="PT Astra Serif"/>
          <w:sz w:val="28"/>
          <w:szCs w:val="28"/>
        </w:rPr>
        <w:t xml:space="preserve"> (</w:t>
      </w:r>
      <w:r w:rsidR="003715A4" w:rsidRPr="003232A7">
        <w:rPr>
          <w:rFonts w:ascii="PT Astra Serif" w:hAnsi="PT Astra Serif"/>
          <w:sz w:val="28"/>
          <w:szCs w:val="28"/>
        </w:rPr>
        <w:t>35,4</w:t>
      </w:r>
      <w:r w:rsidR="00D415FB" w:rsidRPr="003232A7">
        <w:rPr>
          <w:rFonts w:ascii="PT Astra Serif" w:hAnsi="PT Astra Serif"/>
          <w:sz w:val="28"/>
          <w:szCs w:val="28"/>
        </w:rPr>
        <w:t>%)</w:t>
      </w:r>
      <w:r w:rsidRPr="003232A7">
        <w:rPr>
          <w:rFonts w:ascii="PT Astra Serif" w:hAnsi="PT Astra Serif"/>
          <w:sz w:val="28"/>
          <w:szCs w:val="28"/>
        </w:rPr>
        <w:t xml:space="preserve">  и</w:t>
      </w:r>
      <w:r w:rsidR="00D415FB" w:rsidRPr="003232A7">
        <w:rPr>
          <w:rFonts w:ascii="PT Astra Serif" w:hAnsi="PT Astra Serif"/>
          <w:sz w:val="28"/>
          <w:szCs w:val="28"/>
        </w:rPr>
        <w:t xml:space="preserve"> федеральны</w:t>
      </w:r>
      <w:r w:rsidRPr="003232A7">
        <w:rPr>
          <w:rFonts w:ascii="PT Astra Serif" w:hAnsi="PT Astra Serif"/>
          <w:sz w:val="28"/>
          <w:szCs w:val="28"/>
        </w:rPr>
        <w:t>й бюджет</w:t>
      </w:r>
      <w:r w:rsidR="00D415FB" w:rsidRPr="003232A7">
        <w:rPr>
          <w:rFonts w:ascii="PT Astra Serif" w:hAnsi="PT Astra Serif"/>
          <w:sz w:val="28"/>
          <w:szCs w:val="28"/>
        </w:rPr>
        <w:t xml:space="preserve"> (</w:t>
      </w:r>
      <w:r w:rsidR="003715A4" w:rsidRPr="003232A7">
        <w:rPr>
          <w:rFonts w:ascii="PT Astra Serif" w:hAnsi="PT Astra Serif"/>
          <w:sz w:val="28"/>
          <w:szCs w:val="28"/>
        </w:rPr>
        <w:t>0,6</w:t>
      </w:r>
      <w:r w:rsidR="00D415FB" w:rsidRPr="003232A7">
        <w:rPr>
          <w:rFonts w:ascii="PT Astra Serif" w:hAnsi="PT Astra Serif"/>
          <w:sz w:val="28"/>
          <w:szCs w:val="28"/>
        </w:rPr>
        <w:t xml:space="preserve">%). Окружные и федеральные средства </w:t>
      </w:r>
      <w:r w:rsidR="00D415FB" w:rsidRPr="003232A7">
        <w:rPr>
          <w:rFonts w:ascii="PT Astra Serif" w:hAnsi="PT Astra Serif"/>
          <w:sz w:val="28"/>
          <w:szCs w:val="28"/>
        </w:rPr>
        <w:lastRenderedPageBreak/>
        <w:t>выдел</w:t>
      </w:r>
      <w:r w:rsidRPr="003232A7">
        <w:rPr>
          <w:rFonts w:ascii="PT Astra Serif" w:hAnsi="PT Astra Serif"/>
          <w:sz w:val="28"/>
          <w:szCs w:val="28"/>
        </w:rPr>
        <w:t>ены</w:t>
      </w:r>
      <w:r w:rsidR="00D415FB" w:rsidRPr="003232A7">
        <w:rPr>
          <w:rFonts w:ascii="PT Astra Serif" w:hAnsi="PT Astra Serif"/>
          <w:sz w:val="28"/>
          <w:szCs w:val="28"/>
        </w:rPr>
        <w:t xml:space="preserve"> на </w:t>
      </w:r>
      <w:r w:rsidR="004A104A" w:rsidRPr="003232A7">
        <w:rPr>
          <w:rFonts w:ascii="PT Astra Serif" w:hAnsi="PT Astra Serif"/>
          <w:sz w:val="28"/>
          <w:szCs w:val="28"/>
        </w:rPr>
        <w:t xml:space="preserve">реализацию мероприятий </w:t>
      </w:r>
      <w:r w:rsidRPr="003232A7">
        <w:rPr>
          <w:rFonts w:ascii="PT Astra Serif" w:hAnsi="PT Astra Serif"/>
          <w:sz w:val="28"/>
          <w:szCs w:val="28"/>
        </w:rPr>
        <w:t xml:space="preserve">муниципальных программ </w:t>
      </w:r>
      <w:r w:rsidR="004A104A" w:rsidRPr="003232A7">
        <w:rPr>
          <w:rFonts w:ascii="PT Astra Serif" w:hAnsi="PT Astra Serif"/>
          <w:sz w:val="28"/>
          <w:szCs w:val="28"/>
        </w:rPr>
        <w:t xml:space="preserve">на </w:t>
      </w:r>
      <w:r w:rsidR="00D415FB" w:rsidRPr="003232A7">
        <w:rPr>
          <w:rFonts w:ascii="PT Astra Serif" w:hAnsi="PT Astra Serif"/>
          <w:sz w:val="28"/>
          <w:szCs w:val="28"/>
        </w:rPr>
        <w:t xml:space="preserve">условиях </w:t>
      </w:r>
      <w:proofErr w:type="spellStart"/>
      <w:r w:rsidR="00D415FB" w:rsidRPr="003232A7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Pr="003232A7">
        <w:rPr>
          <w:rFonts w:ascii="PT Astra Serif" w:hAnsi="PT Astra Serif"/>
          <w:sz w:val="28"/>
          <w:szCs w:val="28"/>
        </w:rPr>
        <w:t xml:space="preserve">, </w:t>
      </w:r>
      <w:r w:rsidR="004A104A" w:rsidRPr="003232A7">
        <w:rPr>
          <w:rFonts w:ascii="PT Astra Serif" w:hAnsi="PT Astra Serif"/>
          <w:sz w:val="28"/>
          <w:szCs w:val="28"/>
        </w:rPr>
        <w:t>при</w:t>
      </w:r>
      <w:r w:rsidR="00D415FB" w:rsidRPr="003232A7">
        <w:rPr>
          <w:rFonts w:ascii="PT Astra Serif" w:hAnsi="PT Astra Serif"/>
          <w:sz w:val="28"/>
          <w:szCs w:val="28"/>
        </w:rPr>
        <w:t xml:space="preserve"> осуществлении </w:t>
      </w:r>
      <w:r w:rsidRPr="003232A7">
        <w:rPr>
          <w:rFonts w:ascii="PT Astra Serif" w:hAnsi="PT Astra Serif"/>
          <w:sz w:val="28"/>
          <w:szCs w:val="28"/>
        </w:rPr>
        <w:t xml:space="preserve">переданных </w:t>
      </w:r>
      <w:r w:rsidR="00D415FB" w:rsidRPr="003232A7">
        <w:rPr>
          <w:rFonts w:ascii="PT Astra Serif" w:hAnsi="PT Astra Serif"/>
          <w:sz w:val="28"/>
          <w:szCs w:val="28"/>
        </w:rPr>
        <w:t>отдельных государственных полномочий</w:t>
      </w:r>
      <w:r w:rsidRPr="003232A7">
        <w:rPr>
          <w:rFonts w:ascii="PT Astra Serif" w:hAnsi="PT Astra Serif"/>
          <w:sz w:val="28"/>
          <w:szCs w:val="28"/>
        </w:rPr>
        <w:t xml:space="preserve">, </w:t>
      </w:r>
      <w:r w:rsidR="00581413" w:rsidRPr="003232A7">
        <w:rPr>
          <w:rFonts w:ascii="PT Astra Serif" w:hAnsi="PT Astra Serif"/>
          <w:sz w:val="28"/>
          <w:szCs w:val="28"/>
        </w:rPr>
        <w:t xml:space="preserve">на </w:t>
      </w:r>
      <w:r w:rsidRPr="003232A7">
        <w:rPr>
          <w:rFonts w:ascii="PT Astra Serif" w:hAnsi="PT Astra Serif"/>
          <w:sz w:val="28"/>
          <w:szCs w:val="28"/>
        </w:rPr>
        <w:t>исполнени</w:t>
      </w:r>
      <w:r w:rsidR="00581413" w:rsidRPr="003232A7">
        <w:rPr>
          <w:rFonts w:ascii="PT Astra Serif" w:hAnsi="PT Astra Serif"/>
          <w:sz w:val="28"/>
          <w:szCs w:val="28"/>
        </w:rPr>
        <w:t>е</w:t>
      </w:r>
      <w:r w:rsidRPr="003232A7">
        <w:rPr>
          <w:rFonts w:ascii="PT Astra Serif" w:hAnsi="PT Astra Serif"/>
          <w:sz w:val="28"/>
          <w:szCs w:val="28"/>
        </w:rPr>
        <w:t xml:space="preserve"> наказов избирателей депутатам Думы Ханты-Мансийского автономного округа-Югры, на реализацию мероприятий </w:t>
      </w:r>
      <w:r w:rsidR="00581413" w:rsidRPr="003232A7">
        <w:rPr>
          <w:rFonts w:ascii="PT Astra Serif" w:hAnsi="PT Astra Serif"/>
          <w:sz w:val="28"/>
          <w:szCs w:val="28"/>
        </w:rPr>
        <w:t>з</w:t>
      </w:r>
      <w:r w:rsidRPr="003232A7">
        <w:rPr>
          <w:rFonts w:ascii="PT Astra Serif" w:hAnsi="PT Astra Serif"/>
          <w:sz w:val="28"/>
          <w:szCs w:val="28"/>
        </w:rPr>
        <w:t>а счет средств резервного фонда Правительства Ханты-Мансийского автономного округа-Югры</w:t>
      </w:r>
      <w:r w:rsidR="00D415FB" w:rsidRPr="003232A7">
        <w:rPr>
          <w:rFonts w:ascii="PT Astra Serif" w:hAnsi="PT Astra Serif"/>
          <w:sz w:val="28"/>
          <w:szCs w:val="28"/>
        </w:rPr>
        <w:t>.</w:t>
      </w:r>
    </w:p>
    <w:p w:rsidR="003232A7" w:rsidRDefault="003232A7" w:rsidP="00EA1F1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A1F1F" w:rsidRPr="003232A7" w:rsidRDefault="00D415FB" w:rsidP="00EA1F1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232A7">
        <w:rPr>
          <w:rFonts w:ascii="PT Astra Serif" w:hAnsi="PT Astra Serif"/>
          <w:b/>
          <w:sz w:val="28"/>
          <w:szCs w:val="28"/>
        </w:rPr>
        <w:t xml:space="preserve">Доля исполнения муниципальных программ </w:t>
      </w:r>
    </w:p>
    <w:p w:rsidR="00891077" w:rsidRPr="003232A7" w:rsidRDefault="00EA1F1F" w:rsidP="00EA1F1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232A7">
        <w:rPr>
          <w:rFonts w:ascii="PT Astra Serif" w:hAnsi="PT Astra Serif"/>
          <w:b/>
          <w:sz w:val="28"/>
          <w:szCs w:val="28"/>
        </w:rPr>
        <w:t>п</w:t>
      </w:r>
      <w:r w:rsidR="00D415FB" w:rsidRPr="003232A7">
        <w:rPr>
          <w:rFonts w:ascii="PT Astra Serif" w:hAnsi="PT Astra Serif"/>
          <w:b/>
          <w:sz w:val="28"/>
          <w:szCs w:val="28"/>
        </w:rPr>
        <w:t>о</w:t>
      </w:r>
      <w:r w:rsidRPr="003232A7">
        <w:rPr>
          <w:rFonts w:ascii="PT Astra Serif" w:hAnsi="PT Astra Serif"/>
          <w:b/>
          <w:sz w:val="28"/>
          <w:szCs w:val="28"/>
        </w:rPr>
        <w:t xml:space="preserve"> </w:t>
      </w:r>
      <w:r w:rsidR="00D415FB" w:rsidRPr="003232A7">
        <w:rPr>
          <w:rFonts w:ascii="PT Astra Serif" w:hAnsi="PT Astra Serif"/>
          <w:b/>
          <w:sz w:val="28"/>
          <w:szCs w:val="28"/>
        </w:rPr>
        <w:t>источникам финансирования за 20</w:t>
      </w:r>
      <w:r w:rsidR="004A104A" w:rsidRPr="003232A7">
        <w:rPr>
          <w:rFonts w:ascii="PT Astra Serif" w:hAnsi="PT Astra Serif"/>
          <w:b/>
          <w:sz w:val="28"/>
          <w:szCs w:val="28"/>
        </w:rPr>
        <w:t>20</w:t>
      </w:r>
      <w:r w:rsidR="00D415FB" w:rsidRPr="003232A7">
        <w:rPr>
          <w:rFonts w:ascii="PT Astra Serif" w:hAnsi="PT Astra Serif"/>
          <w:b/>
          <w:sz w:val="28"/>
          <w:szCs w:val="28"/>
        </w:rPr>
        <w:t xml:space="preserve"> год, %</w:t>
      </w:r>
    </w:p>
    <w:p w:rsidR="00B040B7" w:rsidRDefault="00B040B7" w:rsidP="00EA1F1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A1F1F" w:rsidRDefault="00EA1F1F" w:rsidP="00EA1F1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noProof/>
          <w:sz w:val="24"/>
          <w:szCs w:val="24"/>
          <w:lang w:eastAsia="ru-RU"/>
        </w:rPr>
        <w:drawing>
          <wp:inline distT="0" distB="0" distL="0" distR="0" wp14:anchorId="1F9D1289" wp14:editId="67DCD6DA">
            <wp:extent cx="5255812" cy="2536466"/>
            <wp:effectExtent l="0" t="0" r="21590" b="1651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77802" w:rsidRDefault="00577802">
      <w:pPr>
        <w:spacing w:after="0" w:line="240" w:lineRule="auto"/>
        <w:ind w:right="-142" w:firstLine="708"/>
        <w:jc w:val="both"/>
        <w:rPr>
          <w:rFonts w:ascii="PT Astra Serif" w:hAnsi="PT Astra Serif"/>
          <w:sz w:val="24"/>
          <w:szCs w:val="24"/>
          <w:highlight w:val="cyan"/>
        </w:rPr>
      </w:pPr>
    </w:p>
    <w:p w:rsidR="00F651CB" w:rsidRDefault="00F651CB">
      <w:pPr>
        <w:spacing w:after="0" w:line="240" w:lineRule="auto"/>
        <w:ind w:right="-142" w:firstLine="708"/>
        <w:jc w:val="both"/>
        <w:rPr>
          <w:rFonts w:ascii="PT Astra Serif" w:hAnsi="PT Astra Serif"/>
          <w:sz w:val="24"/>
          <w:szCs w:val="24"/>
        </w:rPr>
      </w:pPr>
    </w:p>
    <w:p w:rsidR="00891077" w:rsidRPr="00F25F51" w:rsidRDefault="00D415FB" w:rsidP="00187E18">
      <w:pPr>
        <w:spacing w:after="0"/>
        <w:ind w:right="-142" w:firstLine="708"/>
        <w:jc w:val="both"/>
        <w:rPr>
          <w:rFonts w:ascii="PT Astra Serif" w:hAnsi="PT Astra Serif"/>
          <w:sz w:val="28"/>
          <w:szCs w:val="28"/>
        </w:rPr>
      </w:pPr>
      <w:r w:rsidRPr="00F25F51">
        <w:rPr>
          <w:rFonts w:ascii="PT Astra Serif" w:hAnsi="PT Astra Serif"/>
          <w:sz w:val="28"/>
          <w:szCs w:val="28"/>
        </w:rPr>
        <w:t>В 20</w:t>
      </w:r>
      <w:r w:rsidR="004A104A" w:rsidRPr="00F25F51">
        <w:rPr>
          <w:rFonts w:ascii="PT Astra Serif" w:hAnsi="PT Astra Serif"/>
          <w:sz w:val="28"/>
          <w:szCs w:val="28"/>
        </w:rPr>
        <w:t>20</w:t>
      </w:r>
      <w:r w:rsidRPr="00F25F51">
        <w:rPr>
          <w:rFonts w:ascii="PT Astra Serif" w:hAnsi="PT Astra Serif"/>
          <w:sz w:val="28"/>
          <w:szCs w:val="28"/>
        </w:rPr>
        <w:t xml:space="preserve"> году финансировани</w:t>
      </w:r>
      <w:r w:rsidR="00F651CB" w:rsidRPr="00F25F51">
        <w:rPr>
          <w:rFonts w:ascii="PT Astra Serif" w:hAnsi="PT Astra Serif"/>
          <w:sz w:val="28"/>
          <w:szCs w:val="28"/>
        </w:rPr>
        <w:t>е</w:t>
      </w:r>
      <w:r w:rsidRPr="00F25F51">
        <w:rPr>
          <w:rFonts w:ascii="PT Astra Serif" w:hAnsi="PT Astra Serif"/>
          <w:sz w:val="28"/>
          <w:szCs w:val="28"/>
        </w:rPr>
        <w:t xml:space="preserve"> муниципальных программ по направлениям</w:t>
      </w:r>
      <w:r w:rsidR="00F651CB" w:rsidRPr="00F25F51">
        <w:rPr>
          <w:rFonts w:ascii="PT Astra Serif" w:hAnsi="PT Astra Serif"/>
          <w:sz w:val="28"/>
          <w:szCs w:val="28"/>
        </w:rPr>
        <w:t xml:space="preserve"> распределилось следующим образом</w:t>
      </w:r>
      <w:r w:rsidRPr="00F25F51">
        <w:rPr>
          <w:rFonts w:ascii="PT Astra Serif" w:hAnsi="PT Astra Serif"/>
          <w:sz w:val="28"/>
          <w:szCs w:val="28"/>
        </w:rPr>
        <w:t>: образование – 4</w:t>
      </w:r>
      <w:r w:rsidR="00BD0D73" w:rsidRPr="00F25F51">
        <w:rPr>
          <w:rFonts w:ascii="PT Astra Serif" w:hAnsi="PT Astra Serif"/>
          <w:sz w:val="28"/>
          <w:szCs w:val="28"/>
        </w:rPr>
        <w:t>8</w:t>
      </w:r>
      <w:r w:rsidRPr="00F25F51">
        <w:rPr>
          <w:rFonts w:ascii="PT Astra Serif" w:hAnsi="PT Astra Serif"/>
          <w:sz w:val="28"/>
          <w:szCs w:val="28"/>
        </w:rPr>
        <w:t xml:space="preserve">%, </w:t>
      </w:r>
      <w:r w:rsidR="00BD0D73" w:rsidRPr="00F25F51">
        <w:rPr>
          <w:rFonts w:ascii="PT Astra Serif" w:hAnsi="PT Astra Serif"/>
          <w:sz w:val="28"/>
          <w:szCs w:val="28"/>
        </w:rPr>
        <w:t>жилищно-коммунальн</w:t>
      </w:r>
      <w:r w:rsidR="00F651CB" w:rsidRPr="00F25F51">
        <w:rPr>
          <w:rFonts w:ascii="PT Astra Serif" w:hAnsi="PT Astra Serif"/>
          <w:sz w:val="28"/>
          <w:szCs w:val="28"/>
        </w:rPr>
        <w:t>ое</w:t>
      </w:r>
      <w:r w:rsidR="00BD0D73" w:rsidRPr="00F25F51">
        <w:rPr>
          <w:rFonts w:ascii="PT Astra Serif" w:hAnsi="PT Astra Serif"/>
          <w:sz w:val="28"/>
          <w:szCs w:val="28"/>
        </w:rPr>
        <w:t xml:space="preserve"> </w:t>
      </w:r>
      <w:r w:rsidR="00F651CB" w:rsidRPr="00F25F51">
        <w:rPr>
          <w:rFonts w:ascii="PT Astra Serif" w:hAnsi="PT Astra Serif"/>
          <w:sz w:val="28"/>
          <w:szCs w:val="28"/>
        </w:rPr>
        <w:t>хозяйство</w:t>
      </w:r>
      <w:r w:rsidRPr="00F25F51">
        <w:rPr>
          <w:rFonts w:ascii="PT Astra Serif" w:hAnsi="PT Astra Serif"/>
          <w:sz w:val="28"/>
          <w:szCs w:val="28"/>
        </w:rPr>
        <w:t xml:space="preserve"> – </w:t>
      </w:r>
      <w:r w:rsidR="00F651CB" w:rsidRPr="00F25F51">
        <w:rPr>
          <w:rFonts w:ascii="PT Astra Serif" w:hAnsi="PT Astra Serif"/>
          <w:sz w:val="28"/>
          <w:szCs w:val="28"/>
        </w:rPr>
        <w:t>19</w:t>
      </w:r>
      <w:r w:rsidRPr="00F25F51">
        <w:rPr>
          <w:rFonts w:ascii="PT Astra Serif" w:hAnsi="PT Astra Serif"/>
          <w:sz w:val="28"/>
          <w:szCs w:val="28"/>
        </w:rPr>
        <w:t xml:space="preserve">%, </w:t>
      </w:r>
      <w:r w:rsidR="00BD0D73" w:rsidRPr="00F25F51">
        <w:rPr>
          <w:rFonts w:ascii="PT Astra Serif" w:hAnsi="PT Astra Serif"/>
          <w:sz w:val="28"/>
          <w:szCs w:val="28"/>
        </w:rPr>
        <w:t xml:space="preserve">национальная экономика – 17%, </w:t>
      </w:r>
      <w:r w:rsidR="00F651CB" w:rsidRPr="00F25F51">
        <w:rPr>
          <w:rFonts w:ascii="PT Astra Serif" w:hAnsi="PT Astra Serif"/>
          <w:sz w:val="28"/>
          <w:szCs w:val="28"/>
        </w:rPr>
        <w:t xml:space="preserve">общегосударственные вопросы – 7%, </w:t>
      </w:r>
      <w:r w:rsidRPr="00F25F51">
        <w:rPr>
          <w:rFonts w:ascii="PT Astra Serif" w:hAnsi="PT Astra Serif"/>
          <w:sz w:val="28"/>
          <w:szCs w:val="28"/>
        </w:rPr>
        <w:t xml:space="preserve">культура и спорт – </w:t>
      </w:r>
      <w:r w:rsidR="00F651CB" w:rsidRPr="00F25F51">
        <w:rPr>
          <w:rFonts w:ascii="PT Astra Serif" w:hAnsi="PT Astra Serif"/>
          <w:sz w:val="28"/>
          <w:szCs w:val="28"/>
        </w:rPr>
        <w:t>4</w:t>
      </w:r>
      <w:r w:rsidRPr="00F25F51">
        <w:rPr>
          <w:rFonts w:ascii="PT Astra Serif" w:hAnsi="PT Astra Serif"/>
          <w:sz w:val="28"/>
          <w:szCs w:val="28"/>
        </w:rPr>
        <w:t>%</w:t>
      </w:r>
      <w:r w:rsidR="00BD0D73" w:rsidRPr="00F25F51">
        <w:rPr>
          <w:rFonts w:ascii="PT Astra Serif" w:hAnsi="PT Astra Serif"/>
          <w:sz w:val="28"/>
          <w:szCs w:val="28"/>
        </w:rPr>
        <w:t xml:space="preserve">, социальная политика – </w:t>
      </w:r>
      <w:r w:rsidR="00F651CB" w:rsidRPr="00F25F51">
        <w:rPr>
          <w:rFonts w:ascii="PT Astra Serif" w:hAnsi="PT Astra Serif"/>
          <w:sz w:val="28"/>
          <w:szCs w:val="28"/>
        </w:rPr>
        <w:t>3</w:t>
      </w:r>
      <w:r w:rsidR="00BD0D73" w:rsidRPr="00F25F51">
        <w:rPr>
          <w:rFonts w:ascii="PT Astra Serif" w:hAnsi="PT Astra Serif"/>
          <w:sz w:val="28"/>
          <w:szCs w:val="28"/>
        </w:rPr>
        <w:t>%</w:t>
      </w:r>
      <w:r w:rsidR="00F651CB" w:rsidRPr="00F25F51">
        <w:rPr>
          <w:rFonts w:ascii="PT Astra Serif" w:hAnsi="PT Astra Serif"/>
          <w:sz w:val="28"/>
          <w:szCs w:val="28"/>
        </w:rPr>
        <w:t>, иные направления – 2%</w:t>
      </w:r>
      <w:r w:rsidR="00BD0D73" w:rsidRPr="00F25F51">
        <w:rPr>
          <w:rFonts w:ascii="PT Astra Serif" w:hAnsi="PT Astra Serif"/>
          <w:sz w:val="28"/>
          <w:szCs w:val="28"/>
        </w:rPr>
        <w:t>.</w:t>
      </w:r>
      <w:r w:rsidRPr="00F25F51">
        <w:rPr>
          <w:rFonts w:ascii="PT Astra Serif" w:hAnsi="PT Astra Serif"/>
          <w:sz w:val="28"/>
          <w:szCs w:val="28"/>
        </w:rPr>
        <w:t xml:space="preserve"> </w:t>
      </w:r>
    </w:p>
    <w:p w:rsidR="00891077" w:rsidRPr="00F651CB" w:rsidRDefault="00EB5259">
      <w:pPr>
        <w:spacing w:after="0" w:line="240" w:lineRule="auto"/>
        <w:ind w:right="-142"/>
        <w:jc w:val="center"/>
        <w:rPr>
          <w:rFonts w:ascii="PT Astra Serif" w:hAnsi="PT Astra Serif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B398014" wp14:editId="37F337EA">
            <wp:extent cx="5255812" cy="3013544"/>
            <wp:effectExtent l="57150" t="0" r="59690" b="1111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65D99" w:rsidRDefault="00665D99" w:rsidP="00B701E1">
      <w:pPr>
        <w:sectPr w:rsidR="00665D99" w:rsidSect="00F25F51">
          <w:type w:val="continuous"/>
          <w:pgSz w:w="11906" w:h="16838"/>
          <w:pgMar w:top="1134" w:right="851" w:bottom="709" w:left="1701" w:header="720" w:footer="720" w:gutter="0"/>
          <w:cols w:space="720"/>
          <w:docGrid w:linePitch="299"/>
        </w:sectPr>
      </w:pPr>
    </w:p>
    <w:p w:rsidR="00665D99" w:rsidRDefault="00665D99" w:rsidP="00B701E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6CAC1" wp14:editId="64AD3955">
                <wp:simplePos x="0" y="0"/>
                <wp:positionH relativeFrom="column">
                  <wp:posOffset>941262</wp:posOffset>
                </wp:positionH>
                <wp:positionV relativeFrom="paragraph">
                  <wp:posOffset>-396323</wp:posOffset>
                </wp:positionV>
                <wp:extent cx="7680463" cy="397566"/>
                <wp:effectExtent l="0" t="0" r="0" b="25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0463" cy="397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D99" w:rsidRPr="00B701E1" w:rsidRDefault="00665D99" w:rsidP="00665D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65D9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Фактические расходы  по муниципальным программам в 2020 году, млн. рублей</w:t>
                            </w:r>
                          </w:p>
                          <w:p w:rsidR="00665D99" w:rsidRDefault="00665D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4.1pt;margin-top:-31.2pt;width:604.7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" stroked="f">
                <v:textbox>
                  <w:txbxContent>
                    <w:p w:rsidR="00665D99" w:rsidRPr="00B701E1" w:rsidRDefault="00665D99" w:rsidP="00665D99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665D9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Фактические расходы  по муниципальным программам в 2020 году, млн. рублей</w:t>
                      </w:r>
                    </w:p>
                    <w:p w:rsidR="00665D99" w:rsidRDefault="00665D99"/>
                  </w:txbxContent>
                </v:textbox>
              </v:shape>
            </w:pict>
          </mc:Fallback>
        </mc:AlternateContent>
      </w:r>
      <w:r w:rsidR="00D73F05" w:rsidRPr="00B701E1">
        <w:rPr>
          <w:noProof/>
          <w:lang w:eastAsia="ru-RU"/>
        </w:rPr>
        <w:drawing>
          <wp:inline distT="0" distB="0" distL="0" distR="0" wp14:anchorId="647D6F4F" wp14:editId="3B240616">
            <wp:extent cx="10002741" cy="5152445"/>
            <wp:effectExtent l="0" t="0" r="17780" b="101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51CF6" w:rsidRDefault="00665D99" w:rsidP="00665D99">
      <w:pPr>
        <w:tabs>
          <w:tab w:val="left" w:pos="6225"/>
        </w:tabs>
        <w:spacing w:after="12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32A7">
        <w:rPr>
          <w:rFonts w:ascii="PT Astra Serif" w:hAnsi="PT Astra Serif"/>
          <w:sz w:val="28"/>
          <w:szCs w:val="28"/>
        </w:rPr>
        <w:t>По итогам реализации муниципальных  программ за 2020 год исполнение объема финансирования составляет 91,3%, в том числе средств бюджета города – 96,0%, бюджета автономного округа – 88,9%, федерального бюджета – 84,1%.</w:t>
      </w:r>
    </w:p>
    <w:p w:rsidR="00665D99" w:rsidRDefault="00665D99" w:rsidP="00665D99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665D99" w:rsidSect="008A4694">
          <w:pgSz w:w="16838" w:h="11906" w:orient="landscape"/>
          <w:pgMar w:top="1701" w:right="1134" w:bottom="851" w:left="709" w:header="720" w:footer="720" w:gutter="0"/>
          <w:cols w:space="720"/>
        </w:sectPr>
      </w:pP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60"/>
        <w:gridCol w:w="7120"/>
        <w:gridCol w:w="2269"/>
      </w:tblGrid>
      <w:tr w:rsidR="00665D99" w:rsidRPr="00665D99" w:rsidTr="00665D99">
        <w:trPr>
          <w:trHeight w:val="1095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C77" w:rsidRPr="00665D99" w:rsidRDefault="00665D99" w:rsidP="00124C7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Результативность достижения запланированных </w:t>
            </w:r>
            <w:r w:rsidRPr="00665D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 xml:space="preserve">значений целевых показателей муниципальных программ </w:t>
            </w:r>
            <w:r w:rsidRPr="00665D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города Ханты-Мансийска на 31 декабря 2020 года</w:t>
            </w:r>
          </w:p>
        </w:tc>
      </w:tr>
      <w:tr w:rsidR="00665D99" w:rsidRPr="00665D99" w:rsidTr="00665D99">
        <w:trPr>
          <w:trHeight w:val="32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7A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65D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65D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Уровень достиж</w:t>
            </w:r>
            <w:r w:rsidRPr="00665D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665D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ния целевых п</w:t>
            </w:r>
            <w:r w:rsidRPr="00665D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665D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казателей на 31.12.2020, %</w:t>
            </w:r>
          </w:p>
        </w:tc>
      </w:tr>
      <w:tr w:rsidR="00665D99" w:rsidRPr="00665D99" w:rsidTr="0036547A">
        <w:trPr>
          <w:trHeight w:val="97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5D99" w:rsidRPr="00665D99" w:rsidTr="00665D99">
        <w:trPr>
          <w:trHeight w:val="84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7A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Средний процент достижения запланированных значений целевых </w:t>
            </w:r>
          </w:p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показателей муниципальных программ города Ха</w:t>
            </w:r>
            <w:r w:rsidRPr="00665D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665D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ты-Мансийска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117,1%</w:t>
            </w:r>
          </w:p>
        </w:tc>
      </w:tr>
      <w:tr w:rsidR="00665D99" w:rsidRPr="00665D99" w:rsidTr="00665D9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правонарушений в сфере обеспечения общественной безопасности и правопорядка в городе Ха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ты-Мансийске»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240,9%</w:t>
            </w:r>
          </w:p>
        </w:tc>
      </w:tr>
      <w:tr w:rsidR="00665D99" w:rsidRPr="00665D99" w:rsidTr="00665D99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гражданского о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щества в </w:t>
            </w:r>
            <w:proofErr w:type="gramStart"/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городе</w:t>
            </w:r>
            <w:proofErr w:type="gramEnd"/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Ханты-Мансийска»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203,5%</w:t>
            </w:r>
          </w:p>
        </w:tc>
      </w:tr>
      <w:tr w:rsidR="00665D99" w:rsidRPr="00665D99" w:rsidTr="00665D99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7A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образования в </w:t>
            </w:r>
            <w:proofErr w:type="gramStart"/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городе</w:t>
            </w:r>
            <w:proofErr w:type="gramEnd"/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ты-Мансийске</w:t>
            </w:r>
            <w:proofErr w:type="gramEnd"/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159,4%</w:t>
            </w:r>
          </w:p>
        </w:tc>
      </w:tr>
      <w:tr w:rsidR="00665D99" w:rsidRPr="00665D99" w:rsidTr="00665D9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7A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«Основные направления ра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вития в области управления и распоряжения муниципальной </w:t>
            </w:r>
          </w:p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стью города Ханты-Мансийска»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138,3%</w:t>
            </w:r>
          </w:p>
        </w:tc>
      </w:tr>
      <w:tr w:rsidR="00665D99" w:rsidRPr="00665D99" w:rsidTr="00665D9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47A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отдельных секторов </w:t>
            </w:r>
          </w:p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 города Ханты-Мансийска»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129,1%</w:t>
            </w:r>
          </w:p>
        </w:tc>
      </w:tr>
      <w:tr w:rsidR="00665D99" w:rsidRPr="00665D99" w:rsidTr="00665D99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gramStart"/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городе</w:t>
            </w:r>
            <w:proofErr w:type="gramEnd"/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Ханты-Мансийске»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116,3%</w:t>
            </w:r>
          </w:p>
        </w:tc>
      </w:tr>
      <w:tr w:rsidR="00665D99" w:rsidRPr="00665D99" w:rsidTr="00665D9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7A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«Проектирование и строительство </w:t>
            </w:r>
          </w:p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инженерных сетей на территории города Ха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ты-Мансийска»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110,8%</w:t>
            </w:r>
          </w:p>
        </w:tc>
      </w:tr>
      <w:tr w:rsidR="00665D99" w:rsidRPr="00665D99" w:rsidTr="00665D9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7A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«Обеспечение </w:t>
            </w:r>
            <w:proofErr w:type="gramStart"/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доступным</w:t>
            </w:r>
            <w:proofErr w:type="gramEnd"/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</w:p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комфортным жильем жителей гор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 Ханты-Мансийска»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109,9%</w:t>
            </w:r>
          </w:p>
        </w:tc>
      </w:tr>
      <w:tr w:rsidR="00665D99" w:rsidRPr="00665D99" w:rsidTr="00665D99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7A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в  </w:t>
            </w:r>
            <w:proofErr w:type="gramStart"/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</w:t>
            </w:r>
            <w:proofErr w:type="gramEnd"/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Ханты-Мансийске</w:t>
            </w:r>
            <w:proofErr w:type="gramEnd"/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101,8%</w:t>
            </w:r>
          </w:p>
        </w:tc>
      </w:tr>
      <w:tr w:rsidR="00665D99" w:rsidRPr="00665D99" w:rsidTr="00665D9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gramStart"/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городе</w:t>
            </w:r>
            <w:proofErr w:type="gramEnd"/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Ханты-Мансийске»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100,5%</w:t>
            </w:r>
          </w:p>
        </w:tc>
      </w:tr>
      <w:tr w:rsidR="00665D99" w:rsidRPr="00665D99" w:rsidTr="00665D9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7A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«Управление </w:t>
            </w:r>
            <w:proofErr w:type="gramStart"/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муниципальными</w:t>
            </w:r>
            <w:proofErr w:type="gramEnd"/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нансами города Ханты-Мансийска»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665D99" w:rsidRPr="00665D99" w:rsidTr="00665D99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жилищно-коммунального ко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плекса  и повышение энергетической эффективности  в городе  Ханты-Мансийске»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665D99" w:rsidRPr="00665D99" w:rsidTr="00665D99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7A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«Защита населения и терр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тории от чрезвычайных ситуаций, обеспечение пожарной безопасности </w:t>
            </w:r>
          </w:p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рода Ханты-Мансийска»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665D99" w:rsidRPr="00665D99" w:rsidTr="00665D9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«Молодежь города Ханты-Мансийска»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99,7%</w:t>
            </w:r>
          </w:p>
        </w:tc>
      </w:tr>
      <w:tr w:rsidR="00665D99" w:rsidRPr="00665D99" w:rsidTr="00665D99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«Содействие развитию сад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водческих, огороднических некоммерческих объединений граждан города Ханты-Мансийска»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98,5%</w:t>
            </w:r>
          </w:p>
        </w:tc>
      </w:tr>
      <w:tr w:rsidR="00665D99" w:rsidRPr="00665D99" w:rsidTr="00665D99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7A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транспортной системы </w:t>
            </w:r>
          </w:p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рода Ханты-Мансийска»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97,3%</w:t>
            </w:r>
          </w:p>
        </w:tc>
      </w:tr>
      <w:tr w:rsidR="00665D99" w:rsidRPr="00665D99" w:rsidTr="000E2AB1">
        <w:trPr>
          <w:trHeight w:val="5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28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жилищного и д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рожного хозя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ства, благоустройство города Ханты-Мансийска»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94,9%</w:t>
            </w:r>
          </w:p>
        </w:tc>
      </w:tr>
      <w:tr w:rsidR="00665D99" w:rsidRPr="00665D99" w:rsidTr="00665D99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7A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«Доступная среда в </w:t>
            </w:r>
            <w:proofErr w:type="gramStart"/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городе</w:t>
            </w:r>
            <w:proofErr w:type="gramEnd"/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65D99" w:rsidRPr="00665D99" w:rsidRDefault="007D0643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Ханты-Мансийске»</w:t>
            </w:r>
            <w:bookmarkStart w:id="0" w:name="_GoBack"/>
            <w:bookmarkEnd w:id="0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83,1%</w:t>
            </w:r>
          </w:p>
        </w:tc>
      </w:tr>
      <w:tr w:rsidR="00665D99" w:rsidRPr="00665D99" w:rsidTr="000E2AB1">
        <w:trPr>
          <w:trHeight w:val="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7A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«Обеспечение </w:t>
            </w:r>
            <w:proofErr w:type="gramStart"/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градостроительной</w:t>
            </w:r>
            <w:proofErr w:type="gramEnd"/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на территории города Ханты-Мансийска»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81,3%</w:t>
            </w:r>
          </w:p>
        </w:tc>
      </w:tr>
      <w:tr w:rsidR="00665D99" w:rsidRPr="00665D99" w:rsidTr="00665D99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47A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«Осуществление городом </w:t>
            </w:r>
          </w:p>
          <w:p w:rsidR="0036547A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Ханты-Мансийском функций админ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стративного центра </w:t>
            </w:r>
          </w:p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Ханты-Мансийского автономного округа – Югры»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77,2%</w:t>
            </w:r>
          </w:p>
        </w:tc>
      </w:tr>
    </w:tbl>
    <w:p w:rsidR="000E2AB1" w:rsidRDefault="000E2AB1" w:rsidP="009625B1">
      <w:pPr>
        <w:pStyle w:val="a4"/>
        <w:tabs>
          <w:tab w:val="left" w:pos="622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B5259" w:rsidRDefault="00EB5259" w:rsidP="009625B1">
      <w:pPr>
        <w:pStyle w:val="a4"/>
        <w:tabs>
          <w:tab w:val="left" w:pos="622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E2AB1" w:rsidRDefault="000E2AB1" w:rsidP="009625B1">
      <w:pPr>
        <w:pStyle w:val="a4"/>
        <w:tabs>
          <w:tab w:val="left" w:pos="622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232A7" w:rsidRDefault="003232A7" w:rsidP="009625B1">
      <w:pPr>
        <w:pStyle w:val="a4"/>
        <w:tabs>
          <w:tab w:val="left" w:pos="622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</w:t>
      </w:r>
      <w:r w:rsidR="00F3359F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проведения </w:t>
      </w:r>
    </w:p>
    <w:p w:rsidR="003232A7" w:rsidRDefault="003232A7" w:rsidP="009625B1">
      <w:pPr>
        <w:pStyle w:val="a4"/>
        <w:tabs>
          <w:tab w:val="left" w:pos="622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оценки </w:t>
      </w:r>
      <w:r w:rsidR="00D415FB" w:rsidRPr="003232A7">
        <w:rPr>
          <w:rFonts w:ascii="Times New Roman" w:hAnsi="Times New Roman"/>
          <w:b/>
          <w:sz w:val="28"/>
          <w:szCs w:val="28"/>
        </w:rPr>
        <w:t xml:space="preserve">эффективности реализации </w:t>
      </w:r>
    </w:p>
    <w:p w:rsidR="003232A7" w:rsidRDefault="00D415FB" w:rsidP="009625B1">
      <w:pPr>
        <w:pStyle w:val="a4"/>
        <w:tabs>
          <w:tab w:val="left" w:pos="622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232A7">
        <w:rPr>
          <w:rFonts w:ascii="Times New Roman" w:hAnsi="Times New Roman"/>
          <w:b/>
          <w:sz w:val="28"/>
          <w:szCs w:val="28"/>
        </w:rPr>
        <w:t>муниципальных программ</w:t>
      </w:r>
      <w:r w:rsidR="00A975B0" w:rsidRPr="003232A7">
        <w:rPr>
          <w:rFonts w:ascii="Times New Roman" w:hAnsi="Times New Roman"/>
          <w:b/>
          <w:sz w:val="28"/>
          <w:szCs w:val="28"/>
        </w:rPr>
        <w:t xml:space="preserve"> города </w:t>
      </w:r>
    </w:p>
    <w:p w:rsidR="00891077" w:rsidRPr="003232A7" w:rsidRDefault="00A975B0" w:rsidP="009625B1">
      <w:pPr>
        <w:pStyle w:val="a4"/>
        <w:tabs>
          <w:tab w:val="left" w:pos="622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232A7">
        <w:rPr>
          <w:rFonts w:ascii="Times New Roman" w:hAnsi="Times New Roman"/>
          <w:b/>
          <w:sz w:val="28"/>
          <w:szCs w:val="28"/>
        </w:rPr>
        <w:t>в 2020 году</w:t>
      </w:r>
    </w:p>
    <w:p w:rsidR="009625B1" w:rsidRPr="003232A7" w:rsidRDefault="009625B1" w:rsidP="009625B1">
      <w:pPr>
        <w:pStyle w:val="a4"/>
        <w:tabs>
          <w:tab w:val="left" w:pos="622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91077" w:rsidRPr="003232A7" w:rsidRDefault="00D415FB" w:rsidP="009625B1">
      <w:pPr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232A7">
        <w:rPr>
          <w:rFonts w:ascii="Times New Roman" w:hAnsi="Times New Roman"/>
          <w:sz w:val="28"/>
          <w:szCs w:val="28"/>
        </w:rPr>
        <w:t xml:space="preserve">В соответствии с </w:t>
      </w:r>
      <w:r w:rsidR="00E043DB" w:rsidRPr="003232A7">
        <w:rPr>
          <w:rFonts w:ascii="Times New Roman" w:hAnsi="Times New Roman"/>
          <w:sz w:val="28"/>
          <w:szCs w:val="28"/>
        </w:rPr>
        <w:t>порядком проведения оценки эффективности реал</w:t>
      </w:r>
      <w:r w:rsidR="00E043DB" w:rsidRPr="003232A7">
        <w:rPr>
          <w:rFonts w:ascii="Times New Roman" w:hAnsi="Times New Roman"/>
          <w:sz w:val="28"/>
          <w:szCs w:val="28"/>
        </w:rPr>
        <w:t>и</w:t>
      </w:r>
      <w:r w:rsidR="00E043DB" w:rsidRPr="003232A7">
        <w:rPr>
          <w:rFonts w:ascii="Times New Roman" w:hAnsi="Times New Roman"/>
          <w:sz w:val="28"/>
          <w:szCs w:val="28"/>
        </w:rPr>
        <w:t xml:space="preserve">зации муниципальных программ города Ханты-Мансийска, утвержденным </w:t>
      </w:r>
      <w:r w:rsidRPr="003232A7">
        <w:rPr>
          <w:rFonts w:ascii="Times New Roman" w:hAnsi="Times New Roman"/>
          <w:sz w:val="28"/>
          <w:szCs w:val="28"/>
        </w:rPr>
        <w:t xml:space="preserve">постановлением Администрации города </w:t>
      </w:r>
      <w:r w:rsidR="00C16694" w:rsidRPr="003232A7">
        <w:rPr>
          <w:rFonts w:ascii="Times New Roman" w:hAnsi="Times New Roman"/>
          <w:sz w:val="28"/>
          <w:szCs w:val="28"/>
        </w:rPr>
        <w:t>Ханты-Мансийска</w:t>
      </w:r>
      <w:r w:rsidRPr="003232A7">
        <w:rPr>
          <w:rFonts w:ascii="Times New Roman" w:hAnsi="Times New Roman"/>
          <w:sz w:val="28"/>
          <w:szCs w:val="28"/>
        </w:rPr>
        <w:t xml:space="preserve"> от </w:t>
      </w:r>
      <w:r w:rsidR="00C16694" w:rsidRPr="003232A7">
        <w:rPr>
          <w:rFonts w:ascii="Times New Roman" w:hAnsi="Times New Roman"/>
          <w:sz w:val="28"/>
          <w:szCs w:val="28"/>
        </w:rPr>
        <w:t>28 июня</w:t>
      </w:r>
      <w:r w:rsidRPr="003232A7">
        <w:rPr>
          <w:rFonts w:ascii="Times New Roman" w:hAnsi="Times New Roman"/>
          <w:sz w:val="28"/>
          <w:szCs w:val="28"/>
        </w:rPr>
        <w:t xml:space="preserve"> 20</w:t>
      </w:r>
      <w:r w:rsidR="00C16694" w:rsidRPr="003232A7">
        <w:rPr>
          <w:rFonts w:ascii="Times New Roman" w:hAnsi="Times New Roman"/>
          <w:sz w:val="28"/>
          <w:szCs w:val="28"/>
        </w:rPr>
        <w:t>19</w:t>
      </w:r>
      <w:r w:rsidRPr="003232A7">
        <w:rPr>
          <w:rFonts w:ascii="Times New Roman" w:hAnsi="Times New Roman"/>
          <w:sz w:val="28"/>
          <w:szCs w:val="28"/>
        </w:rPr>
        <w:t xml:space="preserve"> года № </w:t>
      </w:r>
      <w:r w:rsidR="00C16694" w:rsidRPr="003232A7">
        <w:rPr>
          <w:rFonts w:ascii="Times New Roman" w:hAnsi="Times New Roman"/>
          <w:sz w:val="28"/>
          <w:szCs w:val="28"/>
        </w:rPr>
        <w:t>735</w:t>
      </w:r>
      <w:r w:rsidRPr="003232A7">
        <w:rPr>
          <w:rFonts w:ascii="Times New Roman" w:hAnsi="Times New Roman"/>
          <w:sz w:val="28"/>
          <w:szCs w:val="28"/>
        </w:rPr>
        <w:t xml:space="preserve"> «</w:t>
      </w:r>
      <w:r w:rsidR="00C16694" w:rsidRPr="003232A7">
        <w:rPr>
          <w:rFonts w:ascii="Times New Roman" w:hAnsi="Times New Roman"/>
          <w:sz w:val="28"/>
          <w:szCs w:val="28"/>
        </w:rPr>
        <w:t>О муниципальных программах города Ханты-Мансийска»</w:t>
      </w:r>
      <w:r w:rsidR="00E043DB" w:rsidRPr="003232A7">
        <w:rPr>
          <w:rFonts w:ascii="Times New Roman" w:hAnsi="Times New Roman"/>
          <w:sz w:val="28"/>
          <w:szCs w:val="28"/>
        </w:rPr>
        <w:t xml:space="preserve"> пр</w:t>
      </w:r>
      <w:r w:rsidR="00E043DB" w:rsidRPr="003232A7">
        <w:rPr>
          <w:rFonts w:ascii="Times New Roman" w:hAnsi="Times New Roman"/>
          <w:sz w:val="28"/>
          <w:szCs w:val="28"/>
        </w:rPr>
        <w:t>о</w:t>
      </w:r>
      <w:r w:rsidR="00E043DB" w:rsidRPr="003232A7">
        <w:rPr>
          <w:rFonts w:ascii="Times New Roman" w:hAnsi="Times New Roman"/>
          <w:sz w:val="28"/>
          <w:szCs w:val="28"/>
        </w:rPr>
        <w:t>ведена оценка эффективности реализации муниципальных пр</w:t>
      </w:r>
      <w:r w:rsidR="00E043DB" w:rsidRPr="003232A7">
        <w:rPr>
          <w:rFonts w:ascii="Times New Roman" w:hAnsi="Times New Roman"/>
          <w:sz w:val="28"/>
          <w:szCs w:val="28"/>
        </w:rPr>
        <w:t>о</w:t>
      </w:r>
      <w:r w:rsidR="00E043DB" w:rsidRPr="003232A7">
        <w:rPr>
          <w:rFonts w:ascii="Times New Roman" w:hAnsi="Times New Roman"/>
          <w:sz w:val="28"/>
          <w:szCs w:val="28"/>
        </w:rPr>
        <w:t>грамм</w:t>
      </w:r>
      <w:r w:rsidR="00DF4D20" w:rsidRPr="003232A7">
        <w:rPr>
          <w:rFonts w:ascii="Times New Roman" w:hAnsi="Times New Roman"/>
          <w:sz w:val="28"/>
          <w:szCs w:val="28"/>
        </w:rPr>
        <w:t xml:space="preserve"> в 2020 году</w:t>
      </w:r>
      <w:r w:rsidRPr="003232A7">
        <w:rPr>
          <w:rFonts w:ascii="Times New Roman" w:hAnsi="Times New Roman"/>
          <w:sz w:val="28"/>
          <w:szCs w:val="28"/>
        </w:rPr>
        <w:t>.</w:t>
      </w:r>
    </w:p>
    <w:p w:rsidR="00410D02" w:rsidRPr="003232A7" w:rsidRDefault="00410D02" w:rsidP="00410D02">
      <w:pPr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232A7">
        <w:rPr>
          <w:rFonts w:ascii="Times New Roman" w:hAnsi="Times New Roman"/>
          <w:sz w:val="28"/>
          <w:szCs w:val="28"/>
        </w:rPr>
        <w:t>По результатам оценки эффективности реализации муниципальных пр</w:t>
      </w:r>
      <w:r w:rsidRPr="003232A7">
        <w:rPr>
          <w:rFonts w:ascii="Times New Roman" w:hAnsi="Times New Roman"/>
          <w:sz w:val="28"/>
          <w:szCs w:val="28"/>
        </w:rPr>
        <w:t>о</w:t>
      </w:r>
      <w:r w:rsidRPr="003232A7">
        <w:rPr>
          <w:rFonts w:ascii="Times New Roman" w:hAnsi="Times New Roman"/>
          <w:sz w:val="28"/>
          <w:szCs w:val="28"/>
        </w:rPr>
        <w:t>грамм программам присваивается рейтинг (уровень) эффективности в отче</w:t>
      </w:r>
      <w:r w:rsidRPr="003232A7">
        <w:rPr>
          <w:rFonts w:ascii="Times New Roman" w:hAnsi="Times New Roman"/>
          <w:sz w:val="28"/>
          <w:szCs w:val="28"/>
        </w:rPr>
        <w:t>т</w:t>
      </w:r>
      <w:r w:rsidRPr="003232A7">
        <w:rPr>
          <w:rFonts w:ascii="Times New Roman" w:hAnsi="Times New Roman"/>
          <w:sz w:val="28"/>
          <w:szCs w:val="28"/>
        </w:rPr>
        <w:t xml:space="preserve">ном году согласно следующей </w:t>
      </w:r>
      <w:r w:rsidR="00DF4D20" w:rsidRPr="003232A7">
        <w:rPr>
          <w:rFonts w:ascii="Times New Roman" w:hAnsi="Times New Roman"/>
          <w:sz w:val="28"/>
          <w:szCs w:val="28"/>
        </w:rPr>
        <w:t>шкал</w:t>
      </w:r>
      <w:r w:rsidRPr="003232A7">
        <w:rPr>
          <w:rFonts w:ascii="Times New Roman" w:hAnsi="Times New Roman"/>
          <w:sz w:val="28"/>
          <w:szCs w:val="28"/>
        </w:rPr>
        <w:t>е:</w:t>
      </w:r>
    </w:p>
    <w:p w:rsidR="00DF4D20" w:rsidRPr="003232A7" w:rsidRDefault="00DF4D20" w:rsidP="00410D02">
      <w:pPr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232A7">
        <w:rPr>
          <w:rFonts w:ascii="Times New Roman" w:hAnsi="Times New Roman"/>
          <w:sz w:val="28"/>
          <w:szCs w:val="28"/>
        </w:rPr>
        <w:t>- эффективная программа (бальная оценка – 8 и выше);</w:t>
      </w:r>
    </w:p>
    <w:p w:rsidR="00DF4D20" w:rsidRPr="003232A7" w:rsidRDefault="00DF4D20" w:rsidP="00410D02">
      <w:pPr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232A7">
        <w:rPr>
          <w:rFonts w:ascii="Times New Roman" w:hAnsi="Times New Roman"/>
          <w:sz w:val="28"/>
          <w:szCs w:val="28"/>
        </w:rPr>
        <w:t xml:space="preserve">- умеренно эффективная программа (бальная оценка – от 5 до 8); </w:t>
      </w:r>
    </w:p>
    <w:p w:rsidR="00DF4D20" w:rsidRPr="003232A7" w:rsidRDefault="00DF4D20" w:rsidP="00410D02">
      <w:pPr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232A7">
        <w:rPr>
          <w:rFonts w:ascii="Times New Roman" w:hAnsi="Times New Roman"/>
          <w:sz w:val="28"/>
          <w:szCs w:val="28"/>
        </w:rPr>
        <w:t>- малоэффективная программа (бальная оценка – от 3 до 5);</w:t>
      </w:r>
    </w:p>
    <w:p w:rsidR="00DF4D20" w:rsidRPr="003232A7" w:rsidRDefault="00DF4D20" w:rsidP="00410D02">
      <w:pPr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232A7">
        <w:rPr>
          <w:rFonts w:ascii="Times New Roman" w:hAnsi="Times New Roman"/>
          <w:sz w:val="28"/>
          <w:szCs w:val="28"/>
        </w:rPr>
        <w:t>- неэффективная программа (бальная оценка – менее 3).</w:t>
      </w:r>
    </w:p>
    <w:p w:rsidR="00DF4D20" w:rsidRPr="003232A7" w:rsidRDefault="00DF4D2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4C77" w:rsidRDefault="00124C7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  <w:sectPr w:rsidR="00124C77" w:rsidSect="00124C77">
          <w:pgSz w:w="11906" w:h="16838"/>
          <w:pgMar w:top="1134" w:right="851" w:bottom="709" w:left="1701" w:header="720" w:footer="720" w:gutter="0"/>
          <w:cols w:space="720"/>
        </w:sectPr>
      </w:pPr>
    </w:p>
    <w:p w:rsidR="00F25F51" w:rsidRDefault="00F25F5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2BA372C" wp14:editId="3CE354EC">
            <wp:extent cx="9613127" cy="5351228"/>
            <wp:effectExtent l="0" t="0" r="26670" b="209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A1FF8" w:rsidRDefault="004A1FF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24C77" w:rsidRDefault="00124C7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124C77" w:rsidSect="004A1FF8">
          <w:pgSz w:w="16838" w:h="11906" w:orient="landscape"/>
          <w:pgMar w:top="1701" w:right="1134" w:bottom="851" w:left="709" w:header="720" w:footer="720" w:gutter="0"/>
          <w:cols w:space="720"/>
        </w:sectPr>
      </w:pPr>
    </w:p>
    <w:p w:rsidR="00891077" w:rsidRPr="003232A7" w:rsidRDefault="00D415F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2A7">
        <w:rPr>
          <w:rFonts w:ascii="Times New Roman" w:hAnsi="Times New Roman"/>
          <w:sz w:val="28"/>
          <w:szCs w:val="28"/>
        </w:rPr>
        <w:lastRenderedPageBreak/>
        <w:t xml:space="preserve">Анализ исполнения муниципальных программ </w:t>
      </w:r>
      <w:r w:rsidR="00A975B0" w:rsidRPr="003232A7">
        <w:rPr>
          <w:rFonts w:ascii="Times New Roman" w:hAnsi="Times New Roman"/>
          <w:sz w:val="28"/>
          <w:szCs w:val="28"/>
        </w:rPr>
        <w:t xml:space="preserve">города по итогам 2020 года </w:t>
      </w:r>
      <w:r w:rsidRPr="003232A7">
        <w:rPr>
          <w:rFonts w:ascii="Times New Roman" w:hAnsi="Times New Roman"/>
          <w:sz w:val="28"/>
          <w:szCs w:val="28"/>
        </w:rPr>
        <w:t xml:space="preserve">показал эффективное планирование бюджетных средств </w:t>
      </w:r>
      <w:r w:rsidR="00A975B0" w:rsidRPr="003232A7">
        <w:rPr>
          <w:rFonts w:ascii="Times New Roman" w:hAnsi="Times New Roman"/>
          <w:sz w:val="28"/>
          <w:szCs w:val="28"/>
        </w:rPr>
        <w:t>на реализацию</w:t>
      </w:r>
      <w:r w:rsidRPr="003232A7">
        <w:rPr>
          <w:rFonts w:ascii="Times New Roman" w:hAnsi="Times New Roman"/>
          <w:sz w:val="28"/>
          <w:szCs w:val="28"/>
        </w:rPr>
        <w:t xml:space="preserve"> муниципальных программ.</w:t>
      </w:r>
    </w:p>
    <w:p w:rsidR="00DF4D20" w:rsidRPr="003232A7" w:rsidRDefault="00D415FB" w:rsidP="009625B1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32A7">
        <w:rPr>
          <w:rFonts w:ascii="Times New Roman" w:hAnsi="Times New Roman"/>
          <w:sz w:val="28"/>
          <w:szCs w:val="28"/>
        </w:rPr>
        <w:t xml:space="preserve">Из </w:t>
      </w:r>
      <w:r w:rsidR="00DF4D20" w:rsidRPr="003232A7">
        <w:rPr>
          <w:rFonts w:ascii="Times New Roman" w:hAnsi="Times New Roman"/>
          <w:sz w:val="28"/>
          <w:szCs w:val="28"/>
        </w:rPr>
        <w:t>20</w:t>
      </w:r>
      <w:r w:rsidRPr="003232A7">
        <w:rPr>
          <w:rFonts w:ascii="Times New Roman" w:hAnsi="Times New Roman"/>
          <w:sz w:val="28"/>
          <w:szCs w:val="28"/>
        </w:rPr>
        <w:t xml:space="preserve"> муниципальных программ, реализуемых на территории </w:t>
      </w:r>
      <w:r w:rsidR="00DF4D20" w:rsidRPr="003232A7">
        <w:rPr>
          <w:rFonts w:ascii="Times New Roman" w:hAnsi="Times New Roman"/>
          <w:sz w:val="28"/>
          <w:szCs w:val="28"/>
        </w:rPr>
        <w:t xml:space="preserve">города Ханты-Мансийска в 2020 году, </w:t>
      </w:r>
      <w:r w:rsidRPr="003232A7">
        <w:rPr>
          <w:rFonts w:ascii="Times New Roman" w:hAnsi="Times New Roman"/>
          <w:sz w:val="28"/>
          <w:szCs w:val="28"/>
        </w:rPr>
        <w:t>1</w:t>
      </w:r>
      <w:r w:rsidR="00DF4D20" w:rsidRPr="003232A7">
        <w:rPr>
          <w:rFonts w:ascii="Times New Roman" w:hAnsi="Times New Roman"/>
          <w:sz w:val="28"/>
          <w:szCs w:val="28"/>
        </w:rPr>
        <w:t>9</w:t>
      </w:r>
      <w:r w:rsidR="00A975B0" w:rsidRPr="003232A7">
        <w:rPr>
          <w:rFonts w:ascii="Times New Roman" w:hAnsi="Times New Roman"/>
          <w:sz w:val="28"/>
          <w:szCs w:val="28"/>
        </w:rPr>
        <w:t xml:space="preserve"> муниципальных</w:t>
      </w:r>
      <w:r w:rsidRPr="003232A7">
        <w:rPr>
          <w:rFonts w:ascii="Times New Roman" w:hAnsi="Times New Roman"/>
          <w:sz w:val="28"/>
          <w:szCs w:val="28"/>
        </w:rPr>
        <w:t xml:space="preserve"> программ </w:t>
      </w:r>
      <w:r w:rsidR="00DF4D20" w:rsidRPr="003232A7">
        <w:rPr>
          <w:rFonts w:ascii="Times New Roman" w:hAnsi="Times New Roman"/>
          <w:sz w:val="28"/>
          <w:szCs w:val="28"/>
        </w:rPr>
        <w:t xml:space="preserve">признаны </w:t>
      </w:r>
      <w:r w:rsidRPr="003232A7">
        <w:rPr>
          <w:rFonts w:ascii="Times New Roman" w:hAnsi="Times New Roman"/>
          <w:sz w:val="28"/>
          <w:szCs w:val="28"/>
        </w:rPr>
        <w:t>эффектив</w:t>
      </w:r>
      <w:r w:rsidR="00DF4D20" w:rsidRPr="003232A7">
        <w:rPr>
          <w:rFonts w:ascii="Times New Roman" w:hAnsi="Times New Roman"/>
          <w:sz w:val="28"/>
          <w:szCs w:val="28"/>
        </w:rPr>
        <w:t>ными, 1 программа – умеренно-эффективной</w:t>
      </w:r>
      <w:r w:rsidRPr="003232A7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891077" w:rsidRPr="003232A7" w:rsidRDefault="00D415FB" w:rsidP="009625B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2A7">
        <w:rPr>
          <w:rFonts w:ascii="Times New Roman" w:hAnsi="Times New Roman"/>
          <w:sz w:val="28"/>
          <w:szCs w:val="28"/>
        </w:rPr>
        <w:t xml:space="preserve">На снижение уровня эффективности </w:t>
      </w:r>
      <w:r w:rsidR="00F3359F">
        <w:rPr>
          <w:rFonts w:ascii="Times New Roman" w:hAnsi="Times New Roman"/>
          <w:sz w:val="28"/>
          <w:szCs w:val="28"/>
        </w:rPr>
        <w:t xml:space="preserve">реализации </w:t>
      </w:r>
      <w:r w:rsidRPr="003232A7">
        <w:rPr>
          <w:rFonts w:ascii="Times New Roman" w:hAnsi="Times New Roman"/>
          <w:sz w:val="28"/>
          <w:szCs w:val="28"/>
        </w:rPr>
        <w:t>муниципальн</w:t>
      </w:r>
      <w:r w:rsidR="009625B1" w:rsidRPr="003232A7">
        <w:rPr>
          <w:rFonts w:ascii="Times New Roman" w:hAnsi="Times New Roman"/>
          <w:sz w:val="28"/>
          <w:szCs w:val="28"/>
        </w:rPr>
        <w:t>ых</w:t>
      </w:r>
      <w:r w:rsidRPr="003232A7">
        <w:rPr>
          <w:rFonts w:ascii="Times New Roman" w:hAnsi="Times New Roman"/>
          <w:sz w:val="28"/>
          <w:szCs w:val="28"/>
        </w:rPr>
        <w:t xml:space="preserve"> программ повлияло некорректное планирование исполнителями отдельных значений целевых показателей и несвоевременн</w:t>
      </w:r>
      <w:r w:rsidR="009625B1" w:rsidRPr="003232A7">
        <w:rPr>
          <w:rFonts w:ascii="Times New Roman" w:hAnsi="Times New Roman"/>
          <w:sz w:val="28"/>
          <w:szCs w:val="28"/>
        </w:rPr>
        <w:t>ое</w:t>
      </w:r>
      <w:r w:rsidRPr="003232A7">
        <w:rPr>
          <w:rFonts w:ascii="Times New Roman" w:hAnsi="Times New Roman"/>
          <w:sz w:val="28"/>
          <w:szCs w:val="28"/>
        </w:rPr>
        <w:t xml:space="preserve"> внесение изменений в муниципальные программы.</w:t>
      </w:r>
    </w:p>
    <w:p w:rsidR="00891077" w:rsidRPr="003232A7" w:rsidRDefault="00891077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highlight w:val="yellow"/>
          <w:shd w:val="clear" w:color="auto" w:fill="FFFF00"/>
        </w:rPr>
      </w:pPr>
    </w:p>
    <w:p w:rsidR="00891077" w:rsidRPr="003232A7" w:rsidRDefault="00D415FB" w:rsidP="009625B1">
      <w:pPr>
        <w:tabs>
          <w:tab w:val="left" w:pos="0"/>
          <w:tab w:val="left" w:pos="62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2A7">
        <w:rPr>
          <w:rFonts w:ascii="Times New Roman" w:hAnsi="Times New Roman"/>
          <w:b/>
          <w:sz w:val="28"/>
          <w:szCs w:val="28"/>
        </w:rPr>
        <w:t>Предложения по сохранению и улучшению достигнутого уровня</w:t>
      </w:r>
    </w:p>
    <w:p w:rsidR="00891077" w:rsidRPr="003232A7" w:rsidRDefault="00D415FB" w:rsidP="009625B1">
      <w:pPr>
        <w:tabs>
          <w:tab w:val="left" w:pos="0"/>
          <w:tab w:val="left" w:pos="62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2A7">
        <w:rPr>
          <w:rFonts w:ascii="Times New Roman" w:hAnsi="Times New Roman"/>
          <w:b/>
          <w:sz w:val="28"/>
          <w:szCs w:val="28"/>
        </w:rPr>
        <w:t xml:space="preserve"> эффективности муниципальных</w:t>
      </w:r>
      <w:r w:rsidRPr="003232A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3232A7">
        <w:rPr>
          <w:rFonts w:ascii="Times New Roman" w:hAnsi="Times New Roman"/>
          <w:b/>
          <w:sz w:val="28"/>
          <w:szCs w:val="28"/>
        </w:rPr>
        <w:t>программ</w:t>
      </w:r>
    </w:p>
    <w:p w:rsidR="009625B1" w:rsidRPr="003232A7" w:rsidRDefault="009625B1" w:rsidP="009625B1">
      <w:pPr>
        <w:tabs>
          <w:tab w:val="left" w:pos="0"/>
          <w:tab w:val="left" w:pos="62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1077" w:rsidRPr="003232A7" w:rsidRDefault="00D415FB" w:rsidP="009625B1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2A7">
        <w:rPr>
          <w:rFonts w:ascii="Times New Roman" w:hAnsi="Times New Roman"/>
          <w:sz w:val="28"/>
          <w:szCs w:val="28"/>
        </w:rPr>
        <w:t>1. Необходимо</w:t>
      </w:r>
      <w:r w:rsidR="0005468F">
        <w:rPr>
          <w:rFonts w:ascii="Times New Roman" w:hAnsi="Times New Roman"/>
          <w:sz w:val="28"/>
          <w:szCs w:val="28"/>
        </w:rPr>
        <w:t>сть</w:t>
      </w:r>
      <w:r w:rsidRPr="003232A7">
        <w:rPr>
          <w:rFonts w:ascii="Times New Roman" w:hAnsi="Times New Roman"/>
          <w:sz w:val="28"/>
          <w:szCs w:val="28"/>
        </w:rPr>
        <w:t xml:space="preserve"> устан</w:t>
      </w:r>
      <w:r w:rsidR="0005468F">
        <w:rPr>
          <w:rFonts w:ascii="Times New Roman" w:hAnsi="Times New Roman"/>
          <w:sz w:val="28"/>
          <w:szCs w:val="28"/>
        </w:rPr>
        <w:t>о</w:t>
      </w:r>
      <w:r w:rsidRPr="003232A7">
        <w:rPr>
          <w:rFonts w:ascii="Times New Roman" w:hAnsi="Times New Roman"/>
          <w:sz w:val="28"/>
          <w:szCs w:val="28"/>
        </w:rPr>
        <w:t>вл</w:t>
      </w:r>
      <w:r w:rsidR="0005468F">
        <w:rPr>
          <w:rFonts w:ascii="Times New Roman" w:hAnsi="Times New Roman"/>
          <w:sz w:val="28"/>
          <w:szCs w:val="28"/>
        </w:rPr>
        <w:t>ения</w:t>
      </w:r>
      <w:r w:rsidRPr="003232A7">
        <w:rPr>
          <w:rFonts w:ascii="Times New Roman" w:hAnsi="Times New Roman"/>
          <w:sz w:val="28"/>
          <w:szCs w:val="28"/>
        </w:rPr>
        <w:t xml:space="preserve"> четко</w:t>
      </w:r>
      <w:r w:rsidR="0005468F">
        <w:rPr>
          <w:rFonts w:ascii="Times New Roman" w:hAnsi="Times New Roman"/>
          <w:sz w:val="28"/>
          <w:szCs w:val="28"/>
        </w:rPr>
        <w:t>го</w:t>
      </w:r>
      <w:r w:rsidRPr="003232A7">
        <w:rPr>
          <w:rFonts w:ascii="Times New Roman" w:hAnsi="Times New Roman"/>
          <w:sz w:val="28"/>
          <w:szCs w:val="28"/>
        </w:rPr>
        <w:t xml:space="preserve"> соотношени</w:t>
      </w:r>
      <w:r w:rsidR="0005468F">
        <w:rPr>
          <w:rFonts w:ascii="Times New Roman" w:hAnsi="Times New Roman"/>
          <w:sz w:val="28"/>
          <w:szCs w:val="28"/>
        </w:rPr>
        <w:t>я</w:t>
      </w:r>
      <w:r w:rsidRPr="003232A7">
        <w:rPr>
          <w:rFonts w:ascii="Times New Roman" w:hAnsi="Times New Roman"/>
          <w:sz w:val="28"/>
          <w:szCs w:val="28"/>
        </w:rPr>
        <w:t xml:space="preserve"> между показателями результативности </w:t>
      </w:r>
      <w:r w:rsidR="005F2894">
        <w:rPr>
          <w:rFonts w:ascii="Times New Roman" w:hAnsi="Times New Roman"/>
          <w:sz w:val="28"/>
          <w:szCs w:val="28"/>
        </w:rPr>
        <w:t xml:space="preserve">муниципальной </w:t>
      </w:r>
      <w:r w:rsidRPr="003232A7">
        <w:rPr>
          <w:rFonts w:ascii="Times New Roman" w:hAnsi="Times New Roman"/>
          <w:sz w:val="28"/>
          <w:szCs w:val="28"/>
        </w:rPr>
        <w:t xml:space="preserve">программы и финансовыми затратами на ее реализацию. Показатели результативности должны отражать реальные результаты, которые планируется достичь вследствие реализации </w:t>
      </w:r>
      <w:r w:rsidR="009625B1" w:rsidRPr="003232A7">
        <w:rPr>
          <w:rFonts w:ascii="Times New Roman" w:hAnsi="Times New Roman"/>
          <w:sz w:val="28"/>
          <w:szCs w:val="28"/>
        </w:rPr>
        <w:t xml:space="preserve">муниципальных </w:t>
      </w:r>
      <w:r w:rsidRPr="003232A7">
        <w:rPr>
          <w:rFonts w:ascii="Times New Roman" w:hAnsi="Times New Roman"/>
          <w:sz w:val="28"/>
          <w:szCs w:val="28"/>
        </w:rPr>
        <w:t>программ.</w:t>
      </w:r>
    </w:p>
    <w:p w:rsidR="00891077" w:rsidRDefault="009625B1" w:rsidP="009625B1">
      <w:pPr>
        <w:pStyle w:val="a4"/>
        <w:tabs>
          <w:tab w:val="left" w:pos="622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2A7">
        <w:rPr>
          <w:rFonts w:ascii="Times New Roman" w:hAnsi="Times New Roman"/>
          <w:sz w:val="28"/>
          <w:szCs w:val="28"/>
        </w:rPr>
        <w:t>2</w:t>
      </w:r>
      <w:r w:rsidR="00D415FB" w:rsidRPr="003232A7">
        <w:rPr>
          <w:rFonts w:ascii="Times New Roman" w:hAnsi="Times New Roman"/>
          <w:sz w:val="28"/>
          <w:szCs w:val="28"/>
        </w:rPr>
        <w:t>. Своевременно</w:t>
      </w:r>
      <w:r w:rsidR="00F3359F">
        <w:rPr>
          <w:rFonts w:ascii="Times New Roman" w:hAnsi="Times New Roman"/>
          <w:sz w:val="28"/>
          <w:szCs w:val="28"/>
        </w:rPr>
        <w:t>е</w:t>
      </w:r>
      <w:r w:rsidR="00D415FB" w:rsidRPr="003232A7">
        <w:rPr>
          <w:rFonts w:ascii="Times New Roman" w:hAnsi="Times New Roman"/>
          <w:sz w:val="28"/>
          <w:szCs w:val="28"/>
        </w:rPr>
        <w:t xml:space="preserve"> </w:t>
      </w:r>
      <w:r w:rsidR="00F3359F">
        <w:rPr>
          <w:rFonts w:ascii="Times New Roman" w:hAnsi="Times New Roman"/>
          <w:sz w:val="28"/>
          <w:szCs w:val="28"/>
        </w:rPr>
        <w:t>внесение</w:t>
      </w:r>
      <w:r w:rsidR="00D415FB" w:rsidRPr="003232A7">
        <w:rPr>
          <w:rFonts w:ascii="Times New Roman" w:hAnsi="Times New Roman"/>
          <w:sz w:val="28"/>
          <w:szCs w:val="28"/>
        </w:rPr>
        <w:t xml:space="preserve"> изменени</w:t>
      </w:r>
      <w:r w:rsidR="00F3359F">
        <w:rPr>
          <w:rFonts w:ascii="Times New Roman" w:hAnsi="Times New Roman"/>
          <w:sz w:val="28"/>
          <w:szCs w:val="28"/>
        </w:rPr>
        <w:t>й</w:t>
      </w:r>
      <w:r w:rsidR="00D415FB" w:rsidRPr="003232A7">
        <w:rPr>
          <w:rFonts w:ascii="Times New Roman" w:hAnsi="Times New Roman"/>
          <w:sz w:val="28"/>
          <w:szCs w:val="28"/>
        </w:rPr>
        <w:t xml:space="preserve"> в муниципальные  программы в </w:t>
      </w:r>
      <w:proofErr w:type="gramStart"/>
      <w:r w:rsidR="00D415FB" w:rsidRPr="003232A7">
        <w:rPr>
          <w:rFonts w:ascii="Times New Roman" w:hAnsi="Times New Roman"/>
          <w:sz w:val="28"/>
          <w:szCs w:val="28"/>
        </w:rPr>
        <w:t>процессе</w:t>
      </w:r>
      <w:proofErr w:type="gramEnd"/>
      <w:r w:rsidR="00D415FB" w:rsidRPr="003232A7">
        <w:rPr>
          <w:rFonts w:ascii="Times New Roman" w:hAnsi="Times New Roman"/>
          <w:sz w:val="28"/>
          <w:szCs w:val="28"/>
        </w:rPr>
        <w:t xml:space="preserve"> </w:t>
      </w:r>
      <w:r w:rsidR="00F3359F">
        <w:rPr>
          <w:rFonts w:ascii="Times New Roman" w:hAnsi="Times New Roman"/>
          <w:sz w:val="28"/>
          <w:szCs w:val="28"/>
        </w:rPr>
        <w:t xml:space="preserve">её </w:t>
      </w:r>
      <w:r w:rsidR="00D415FB" w:rsidRPr="003232A7">
        <w:rPr>
          <w:rFonts w:ascii="Times New Roman" w:hAnsi="Times New Roman"/>
          <w:sz w:val="28"/>
          <w:szCs w:val="28"/>
        </w:rPr>
        <w:t xml:space="preserve">реализации в случае </w:t>
      </w:r>
      <w:r w:rsidRPr="003232A7">
        <w:rPr>
          <w:rFonts w:ascii="Times New Roman" w:hAnsi="Times New Roman"/>
          <w:sz w:val="28"/>
          <w:szCs w:val="28"/>
        </w:rPr>
        <w:t xml:space="preserve">значительного </w:t>
      </w:r>
      <w:r w:rsidR="00D415FB" w:rsidRPr="003232A7">
        <w:rPr>
          <w:rFonts w:ascii="Times New Roman" w:hAnsi="Times New Roman"/>
          <w:sz w:val="28"/>
          <w:szCs w:val="28"/>
        </w:rPr>
        <w:t>изменения планируемых объемов финансирования и значений показателей эффективности</w:t>
      </w:r>
      <w:r w:rsidRPr="003232A7">
        <w:rPr>
          <w:rFonts w:ascii="Times New Roman" w:hAnsi="Times New Roman"/>
          <w:sz w:val="28"/>
          <w:szCs w:val="28"/>
        </w:rPr>
        <w:t xml:space="preserve"> реализации </w:t>
      </w:r>
      <w:r w:rsidR="00D415FB" w:rsidRPr="003232A7">
        <w:rPr>
          <w:rFonts w:ascii="Times New Roman" w:hAnsi="Times New Roman"/>
          <w:sz w:val="28"/>
          <w:szCs w:val="28"/>
        </w:rPr>
        <w:t>программы.</w:t>
      </w:r>
    </w:p>
    <w:sectPr w:rsidR="00891077" w:rsidSect="00124C77">
      <w:pgSz w:w="11906" w:h="16838"/>
      <w:pgMar w:top="1134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8D4" w:rsidRDefault="00BB48D4">
      <w:pPr>
        <w:spacing w:after="0" w:line="240" w:lineRule="auto"/>
      </w:pPr>
      <w:r>
        <w:separator/>
      </w:r>
    </w:p>
  </w:endnote>
  <w:endnote w:type="continuationSeparator" w:id="0">
    <w:p w:rsidR="00BB48D4" w:rsidRDefault="00BB4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8D4" w:rsidRDefault="00BB48D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B48D4" w:rsidRDefault="00BB4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869"/>
    <w:multiLevelType w:val="multilevel"/>
    <w:tmpl w:val="8D6CFC24"/>
    <w:lvl w:ilvl="0">
      <w:numFmt w:val="bullet"/>
      <w:lvlText w:val=""/>
      <w:lvlJc w:val="left"/>
      <w:pPr>
        <w:ind w:left="19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D876D2B"/>
    <w:multiLevelType w:val="multilevel"/>
    <w:tmpl w:val="CD663F32"/>
    <w:lvl w:ilvl="0">
      <w:numFmt w:val="bullet"/>
      <w:lvlText w:val=""/>
      <w:lvlJc w:val="left"/>
      <w:pPr>
        <w:ind w:left="157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43F1BDD"/>
    <w:multiLevelType w:val="multilevel"/>
    <w:tmpl w:val="374A68B8"/>
    <w:lvl w:ilvl="0">
      <w:numFmt w:val="bullet"/>
      <w:lvlText w:val=""/>
      <w:lvlJc w:val="left"/>
      <w:pPr>
        <w:ind w:left="157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3810757F"/>
    <w:multiLevelType w:val="multilevel"/>
    <w:tmpl w:val="AF280B26"/>
    <w:lvl w:ilvl="0">
      <w:numFmt w:val="bullet"/>
      <w:lvlText w:val=""/>
      <w:lvlJc w:val="left"/>
      <w:pPr>
        <w:ind w:left="1353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2073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098432A"/>
    <w:multiLevelType w:val="multilevel"/>
    <w:tmpl w:val="B498C71E"/>
    <w:lvl w:ilvl="0">
      <w:numFmt w:val="bullet"/>
      <w:lvlText w:val=""/>
      <w:lvlJc w:val="left"/>
      <w:pPr>
        <w:ind w:left="121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7A36952"/>
    <w:multiLevelType w:val="multilevel"/>
    <w:tmpl w:val="85B039C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48EA733D"/>
    <w:multiLevelType w:val="multilevel"/>
    <w:tmpl w:val="77B0FBA0"/>
    <w:lvl w:ilvl="0">
      <w:numFmt w:val="bullet"/>
      <w:lvlText w:val=""/>
      <w:lvlJc w:val="left"/>
      <w:pPr>
        <w:ind w:left="107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B710254"/>
    <w:multiLevelType w:val="multilevel"/>
    <w:tmpl w:val="EB526B12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58CA11AA"/>
    <w:multiLevelType w:val="multilevel"/>
    <w:tmpl w:val="D3702CCC"/>
    <w:lvl w:ilvl="0">
      <w:numFmt w:val="bullet"/>
      <w:lvlText w:val=""/>
      <w:lvlJc w:val="left"/>
      <w:pPr>
        <w:ind w:left="157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65900B5D"/>
    <w:multiLevelType w:val="multilevel"/>
    <w:tmpl w:val="31FCFA62"/>
    <w:lvl w:ilvl="0">
      <w:numFmt w:val="bullet"/>
      <w:lvlText w:val=""/>
      <w:lvlJc w:val="left"/>
      <w:pPr>
        <w:ind w:left="157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6A07663F"/>
    <w:multiLevelType w:val="multilevel"/>
    <w:tmpl w:val="A260ED8C"/>
    <w:lvl w:ilvl="0">
      <w:numFmt w:val="bullet"/>
      <w:lvlText w:val=""/>
      <w:lvlJc w:val="left"/>
      <w:pPr>
        <w:ind w:left="157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6D867F76"/>
    <w:multiLevelType w:val="multilevel"/>
    <w:tmpl w:val="4B0A397C"/>
    <w:lvl w:ilvl="0">
      <w:numFmt w:val="bullet"/>
      <w:lvlText w:val=""/>
      <w:lvlJc w:val="left"/>
      <w:pPr>
        <w:ind w:left="157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71D3738C"/>
    <w:multiLevelType w:val="multilevel"/>
    <w:tmpl w:val="FFF02568"/>
    <w:lvl w:ilvl="0">
      <w:numFmt w:val="bullet"/>
      <w:lvlText w:val=""/>
      <w:lvlJc w:val="left"/>
      <w:pPr>
        <w:ind w:left="1495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79340351"/>
    <w:multiLevelType w:val="multilevel"/>
    <w:tmpl w:val="D1C8837A"/>
    <w:lvl w:ilvl="0">
      <w:numFmt w:val="bullet"/>
      <w:lvlText w:val=""/>
      <w:lvlJc w:val="left"/>
      <w:pPr>
        <w:ind w:left="157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7B507B58"/>
    <w:multiLevelType w:val="multilevel"/>
    <w:tmpl w:val="70DC0FA0"/>
    <w:lvl w:ilvl="0">
      <w:numFmt w:val="bullet"/>
      <w:lvlText w:val=""/>
      <w:lvlJc w:val="left"/>
      <w:pPr>
        <w:ind w:left="1073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7E6C4A67"/>
    <w:multiLevelType w:val="multilevel"/>
    <w:tmpl w:val="314C7B34"/>
    <w:lvl w:ilvl="0">
      <w:numFmt w:val="bullet"/>
      <w:lvlText w:val=""/>
      <w:lvlJc w:val="left"/>
      <w:pPr>
        <w:ind w:left="1211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10"/>
  </w:num>
  <w:num w:numId="7">
    <w:abstractNumId w:val="7"/>
  </w:num>
  <w:num w:numId="8">
    <w:abstractNumId w:val="14"/>
  </w:num>
  <w:num w:numId="9">
    <w:abstractNumId w:val="9"/>
  </w:num>
  <w:num w:numId="10">
    <w:abstractNumId w:val="1"/>
  </w:num>
  <w:num w:numId="11">
    <w:abstractNumId w:val="12"/>
  </w:num>
  <w:num w:numId="12">
    <w:abstractNumId w:val="4"/>
  </w:num>
  <w:num w:numId="13">
    <w:abstractNumId w:val="3"/>
  </w:num>
  <w:num w:numId="14">
    <w:abstractNumId w:val="13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1077"/>
    <w:rsid w:val="000415B5"/>
    <w:rsid w:val="0005468F"/>
    <w:rsid w:val="000606B7"/>
    <w:rsid w:val="000E2AB1"/>
    <w:rsid w:val="00124C77"/>
    <w:rsid w:val="00136EE7"/>
    <w:rsid w:val="00145453"/>
    <w:rsid w:val="00187E18"/>
    <w:rsid w:val="00197BAA"/>
    <w:rsid w:val="00227693"/>
    <w:rsid w:val="00247285"/>
    <w:rsid w:val="00274842"/>
    <w:rsid w:val="002A23DB"/>
    <w:rsid w:val="002C797F"/>
    <w:rsid w:val="003232A7"/>
    <w:rsid w:val="00325457"/>
    <w:rsid w:val="0036547A"/>
    <w:rsid w:val="003715A4"/>
    <w:rsid w:val="00381382"/>
    <w:rsid w:val="00391C2D"/>
    <w:rsid w:val="003C02AB"/>
    <w:rsid w:val="00410D02"/>
    <w:rsid w:val="004162AB"/>
    <w:rsid w:val="004579A7"/>
    <w:rsid w:val="004A104A"/>
    <w:rsid w:val="004A1FF8"/>
    <w:rsid w:val="004A4B07"/>
    <w:rsid w:val="004D5C5C"/>
    <w:rsid w:val="004D6E81"/>
    <w:rsid w:val="00577802"/>
    <w:rsid w:val="00581413"/>
    <w:rsid w:val="005A737F"/>
    <w:rsid w:val="005F2894"/>
    <w:rsid w:val="006275D4"/>
    <w:rsid w:val="00645D1A"/>
    <w:rsid w:val="00646133"/>
    <w:rsid w:val="00665D99"/>
    <w:rsid w:val="00681406"/>
    <w:rsid w:val="00694134"/>
    <w:rsid w:val="006A2C8D"/>
    <w:rsid w:val="006B203A"/>
    <w:rsid w:val="00751E20"/>
    <w:rsid w:val="007D0643"/>
    <w:rsid w:val="007E2468"/>
    <w:rsid w:val="00891077"/>
    <w:rsid w:val="008A4694"/>
    <w:rsid w:val="009266C2"/>
    <w:rsid w:val="009625B1"/>
    <w:rsid w:val="009C1869"/>
    <w:rsid w:val="00A51CF6"/>
    <w:rsid w:val="00A975B0"/>
    <w:rsid w:val="00B01FF3"/>
    <w:rsid w:val="00B040B7"/>
    <w:rsid w:val="00B61920"/>
    <w:rsid w:val="00B701E1"/>
    <w:rsid w:val="00B81E39"/>
    <w:rsid w:val="00BA418C"/>
    <w:rsid w:val="00BA5DFF"/>
    <w:rsid w:val="00BB48D4"/>
    <w:rsid w:val="00BD0D73"/>
    <w:rsid w:val="00BF4411"/>
    <w:rsid w:val="00C16694"/>
    <w:rsid w:val="00CA0D8B"/>
    <w:rsid w:val="00D415FB"/>
    <w:rsid w:val="00D66442"/>
    <w:rsid w:val="00D73F05"/>
    <w:rsid w:val="00D87CC1"/>
    <w:rsid w:val="00DF4D20"/>
    <w:rsid w:val="00E043DB"/>
    <w:rsid w:val="00E22CC7"/>
    <w:rsid w:val="00EA1F1F"/>
    <w:rsid w:val="00EB5259"/>
    <w:rsid w:val="00ED3FD5"/>
    <w:rsid w:val="00EF55E5"/>
    <w:rsid w:val="00F170C3"/>
    <w:rsid w:val="00F25F51"/>
    <w:rsid w:val="00F3359F"/>
    <w:rsid w:val="00F3586D"/>
    <w:rsid w:val="00F651CB"/>
    <w:rsid w:val="00FB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pPr>
      <w:ind w:left="720"/>
    </w:pPr>
  </w:style>
  <w:style w:type="paragraph" w:customStyle="1" w:styleId="ConsTitle">
    <w:name w:val="ConsTitl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665D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5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5D99"/>
  </w:style>
  <w:style w:type="paragraph" w:styleId="ab">
    <w:name w:val="footer"/>
    <w:basedOn w:val="a"/>
    <w:link w:val="ac"/>
    <w:uiPriority w:val="99"/>
    <w:unhideWhenUsed/>
    <w:rsid w:val="00665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5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pPr>
      <w:ind w:left="720"/>
    </w:pPr>
  </w:style>
  <w:style w:type="paragraph" w:customStyle="1" w:styleId="ConsTitle">
    <w:name w:val="ConsTitl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665D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5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5D99"/>
  </w:style>
  <w:style w:type="paragraph" w:styleId="ab">
    <w:name w:val="footer"/>
    <w:basedOn w:val="a"/>
    <w:link w:val="ac"/>
    <w:uiPriority w:val="99"/>
    <w:unhideWhenUsed/>
    <w:rsid w:val="00665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5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296296296296294E-3"/>
                  <c:y val="-3.1207323985359513E-7"/>
                </c:manualLayout>
              </c:layout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629629629629629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314814814814814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План </c:v>
                </c:pt>
                <c:pt idx="1">
                  <c:v>Исполнение</c:v>
                </c:pt>
              </c:strCache>
            </c:strRef>
          </c:cat>
          <c:val>
            <c:numRef>
              <c:f>Лист1!$B$2:$B$3</c:f>
              <c:numCache>
                <c:formatCode>#,##0.0</c:formatCode>
                <c:ptCount val="2"/>
                <c:pt idx="0">
                  <c:v>12755.1</c:v>
                </c:pt>
                <c:pt idx="1">
                  <c:v>11657.9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Федеральный бюджет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914222578947053E-2"/>
                  <c:y val="3.96341967929787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304506675580341E-2"/>
                  <c:y val="-3.96341967929787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666666666666664E-2"/>
                  <c:y val="3.96333014602531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8610928842228056E-2"/>
                  <c:y val="1.1889990438075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План </c:v>
                </c:pt>
                <c:pt idx="1">
                  <c:v>Исполнение</c:v>
                </c:pt>
              </c:strCache>
            </c:strRef>
          </c:cat>
          <c:val>
            <c:numRef>
              <c:f>Лист1!$C$2:$C$3</c:f>
              <c:numCache>
                <c:formatCode>#,##0.0</c:formatCode>
                <c:ptCount val="2"/>
                <c:pt idx="0">
                  <c:v>78.900000000000006</c:v>
                </c:pt>
                <c:pt idx="1">
                  <c:v>66.400000000000006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Бюджет автономного округа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План </c:v>
                </c:pt>
                <c:pt idx="1">
                  <c:v>Исполнение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8400.6</c:v>
                </c:pt>
                <c:pt idx="1">
                  <c:v>7468.4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Бюджет города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План </c:v>
                </c:pt>
                <c:pt idx="1">
                  <c:v>Исполнение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4295.6000000000004</c:v>
                </c:pt>
                <c:pt idx="1">
                  <c:v>4123.1000000000004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4766848"/>
        <c:axId val="184768384"/>
        <c:axId val="0"/>
      </c:bar3DChart>
      <c:catAx>
        <c:axId val="184766848"/>
        <c:scaling>
          <c:orientation val="minMax"/>
        </c:scaling>
        <c:delete val="0"/>
        <c:axPos val="b"/>
        <c:majorTickMark val="out"/>
        <c:minorTickMark val="none"/>
        <c:tickLblPos val="nextTo"/>
        <c:crossAx val="184768384"/>
        <c:crosses val="autoZero"/>
        <c:auto val="1"/>
        <c:lblAlgn val="ctr"/>
        <c:lblOffset val="100"/>
        <c:noMultiLvlLbl val="0"/>
      </c:catAx>
      <c:valAx>
        <c:axId val="184768384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184766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tx2">
        <a:lumMod val="20000"/>
        <a:lumOff val="80000"/>
        <a:alpha val="84000"/>
      </a:schemeClr>
    </a:solidFill>
    <a:ln w="22225" cmpd="sng">
      <a:solidFill>
        <a:schemeClr val="tx2">
          <a:lumMod val="20000"/>
          <a:lumOff val="80000"/>
          <a:alpha val="0"/>
        </a:schemeClr>
      </a:solidFill>
    </a:ln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b="0" i="0" baseline="0"/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Источники финансирования</c:v>
                </c:pt>
              </c:strCache>
            </c:strRef>
          </c:tx>
          <c:explosion val="25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 </a:t>
                    </a:r>
                    <a:r>
                      <a:rPr lang="en-US"/>
                      <a:t>468,4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 </a:t>
                    </a:r>
                    <a:r>
                      <a:rPr lang="en-US"/>
                      <a:t>12</a:t>
                    </a:r>
                    <a:r>
                      <a:rPr lang="ru-RU"/>
                      <a:t>3</a:t>
                    </a:r>
                    <a:r>
                      <a:rPr lang="en-US"/>
                      <a:t>,</a:t>
                    </a:r>
                    <a:r>
                      <a:rPr lang="ru-RU"/>
                      <a:t>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Федеральный бюджет, млн. рублей</c:v>
                </c:pt>
                <c:pt idx="1">
                  <c:v>Бюджет автономного округа, млн. рублей</c:v>
                </c:pt>
                <c:pt idx="2">
                  <c:v>Бюджет города, млн. рублей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66.400000000000006</c:v>
                </c:pt>
                <c:pt idx="1">
                  <c:v>7468.4</c:v>
                </c:pt>
                <c:pt idx="2">
                  <c:v>4123.1000000000004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solidFill>
      <a:schemeClr val="tx2">
        <a:lumMod val="20000"/>
        <a:lumOff val="80000"/>
        <a:alpha val="60000"/>
      </a:schemeClr>
    </a:solidFill>
    <a:ln cmpd="sng"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Образование</c:v>
                </c:pt>
                <c:pt idx="1">
                  <c:v>Жилищно-коммунальное хозяйство</c:v>
                </c:pt>
                <c:pt idx="2">
                  <c:v>Национальная экономика</c:v>
                </c:pt>
                <c:pt idx="3">
                  <c:v>Общегосударственные вопросы</c:v>
                </c:pt>
                <c:pt idx="4">
                  <c:v>Физическая культура и спорт</c:v>
                </c:pt>
                <c:pt idx="5">
                  <c:v>Социальная политика</c:v>
                </c:pt>
                <c:pt idx="6">
                  <c:v>Иные направления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0.48</c:v>
                </c:pt>
                <c:pt idx="1">
                  <c:v>0.19</c:v>
                </c:pt>
                <c:pt idx="2">
                  <c:v>0.17</c:v>
                </c:pt>
                <c:pt idx="3">
                  <c:v>7.0000000000000007E-2</c:v>
                </c:pt>
                <c:pt idx="4">
                  <c:v>0.04</c:v>
                </c:pt>
                <c:pt idx="5">
                  <c:v>0.03</c:v>
                </c:pt>
                <c:pt idx="6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tx2">
        <a:lumMod val="20000"/>
        <a:lumOff val="80000"/>
      </a:schemeClr>
    </a:solidFill>
    <a:effectLst>
      <a:outerShdw blurRad="50800" dist="50800" dir="5400000" algn="ctr" rotWithShape="0">
        <a:schemeClr val="accent1">
          <a:lumMod val="40000"/>
          <a:lumOff val="60000"/>
        </a:schemeClr>
      </a:outerShdw>
    </a:effectLst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128171700731415"/>
          <c:y val="0.10032043381809219"/>
          <c:w val="0.42861281722679812"/>
          <c:h val="0.8294024714744031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Фактические расходы  по муниципальным программам в 2020 году, млн. рублей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Лист1!$A$2:$A$21</c:f>
              <c:strCache>
                <c:ptCount val="20"/>
                <c:pt idx="0">
                  <c:v>"Доступная среда в городе Ханты-Мансийске"</c:v>
                </c:pt>
                <c:pt idx="1">
                  <c:v>"Содействие развитию садоводческих, огороднических некоммерческих объединений граждан города Ханты-Мансийска"</c:v>
                </c:pt>
                <c:pt idx="2">
                  <c:v>"Профилактика правонарушений в сфере обеспечения общественной безопасности и правопорядка в городе Ханты-Мансийске"</c:v>
                </c:pt>
                <c:pt idx="3">
                  <c:v>"Развитие отдельных секторов экономики города Ханты-Мансийска"</c:v>
                </c:pt>
                <c:pt idx="4">
                  <c:v>"Развитие жилищно-коммунального комплекса и повышение энергетической эффективности в городе Ханты-Мансийске"</c:v>
                </c:pt>
                <c:pt idx="5">
                  <c:v>"Управление муниципальными финансами города Ханты-Мансийска"</c:v>
                </c:pt>
                <c:pt idx="6">
                  <c:v>"Защита населения и территории от чрезвычайных ситуаций, обеспечение пожарной безопасности города Ханты-Мансийска"</c:v>
                </c:pt>
                <c:pt idx="7">
                  <c:v>"Обеспечение градостроительной деятельности на территории города Ханты-Мансийска"</c:v>
                </c:pt>
                <c:pt idx="8">
                  <c:v>"Основные направления развития в области управления и распоряжения муниципальной собственностью города Ханты-Мансийска"</c:v>
                </c:pt>
                <c:pt idx="9">
                  <c:v>"Развитие культуры в городе Ханты-Мансийске"</c:v>
                </c:pt>
                <c:pt idx="10">
                  <c:v>"Развитие физической культуры и спорта в городе Ханты-Мансийске"</c:v>
                </c:pt>
                <c:pt idx="11">
                  <c:v>"Молодежь города Ханты-Мансийске"</c:v>
                </c:pt>
                <c:pt idx="12">
                  <c:v>"Обеспечение доступным и комфортным жильем жителей города Ханты-Мансийска"</c:v>
                </c:pt>
                <c:pt idx="13">
                  <c:v>"Развитие гражданского общества в городе Ханты-Мансийске"</c:v>
                </c:pt>
                <c:pt idx="14">
                  <c:v>"Осуществление городом Ханты-Мансийском функций административного центра Ханты-Мансийского автономного округа-Югры"</c:v>
                </c:pt>
                <c:pt idx="15">
                  <c:v>"Развитие муниципальной службы в городе Ханты-Мансийске"</c:v>
                </c:pt>
                <c:pt idx="16">
                  <c:v>"Проектирование и строительство инженерных сетей на территории города Ханты-Мансийска"</c:v>
                </c:pt>
                <c:pt idx="17">
                  <c:v>"Развитие транспортной системы города Ханты-Мансийска"</c:v>
                </c:pt>
                <c:pt idx="18">
                  <c:v>"Развитие жилищного и дорожного хозяйства, благоустройство города Ханты-Мансийска"</c:v>
                </c:pt>
                <c:pt idx="19">
                  <c:v>"Развитие образования в городе Ханты-Мансийске"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1.8</c:v>
                </c:pt>
                <c:pt idx="1">
                  <c:v>3.2</c:v>
                </c:pt>
                <c:pt idx="2">
                  <c:v>10.8</c:v>
                </c:pt>
                <c:pt idx="3">
                  <c:v>63.3</c:v>
                </c:pt>
                <c:pt idx="4">
                  <c:v>72.5</c:v>
                </c:pt>
                <c:pt idx="5">
                  <c:v>121.2</c:v>
                </c:pt>
                <c:pt idx="6">
                  <c:v>129</c:v>
                </c:pt>
                <c:pt idx="7">
                  <c:v>169.1</c:v>
                </c:pt>
                <c:pt idx="8">
                  <c:v>192.9</c:v>
                </c:pt>
                <c:pt idx="9">
                  <c:v>196.7</c:v>
                </c:pt>
                <c:pt idx="10">
                  <c:v>200.5</c:v>
                </c:pt>
                <c:pt idx="11">
                  <c:v>293.3</c:v>
                </c:pt>
                <c:pt idx="12">
                  <c:v>329</c:v>
                </c:pt>
                <c:pt idx="13">
                  <c:v>334.2</c:v>
                </c:pt>
                <c:pt idx="14">
                  <c:v>454.5</c:v>
                </c:pt>
                <c:pt idx="15">
                  <c:v>509.1</c:v>
                </c:pt>
                <c:pt idx="16">
                  <c:v>793.7</c:v>
                </c:pt>
                <c:pt idx="17">
                  <c:v>978.3</c:v>
                </c:pt>
                <c:pt idx="18">
                  <c:v>1402.5</c:v>
                </c:pt>
                <c:pt idx="19">
                  <c:v>5402.3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205888"/>
        <c:axId val="171201280"/>
      </c:barChart>
      <c:catAx>
        <c:axId val="231205888"/>
        <c:scaling>
          <c:orientation val="minMax"/>
        </c:scaling>
        <c:delete val="0"/>
        <c:axPos val="l"/>
        <c:majorTickMark val="out"/>
        <c:minorTickMark val="none"/>
        <c:tickLblPos val="nextTo"/>
        <c:crossAx val="171201280"/>
        <c:crosses val="autoZero"/>
        <c:auto val="1"/>
        <c:lblAlgn val="ctr"/>
        <c:lblOffset val="100"/>
        <c:noMultiLvlLbl val="0"/>
      </c:catAx>
      <c:valAx>
        <c:axId val="1712012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1205888"/>
        <c:crosses val="autoZero"/>
        <c:crossBetween val="between"/>
      </c:valAx>
      <c:spPr>
        <a:solidFill>
          <a:schemeClr val="tx2">
            <a:lumMod val="20000"/>
            <a:lumOff val="80000"/>
            <a:alpha val="85000"/>
          </a:schemeClr>
        </a:solidFill>
      </c:spPr>
    </c:plotArea>
    <c:plotVisOnly val="1"/>
    <c:dispBlanksAs val="gap"/>
    <c:showDLblsOverMax val="0"/>
  </c:chart>
  <c:spPr>
    <a:solidFill>
      <a:schemeClr val="tx2">
        <a:lumMod val="20000"/>
        <a:lumOff val="80000"/>
      </a:schemeClr>
    </a:solidFill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aseline="0"/>
            </a:pPr>
            <a:r>
              <a:rPr lang="ru-RU" sz="1400" baseline="0"/>
              <a:t>Рейтинг оценки эффективности реализации муниципальных программ по итогам 2020 года</a:t>
            </a:r>
          </a:p>
        </c:rich>
      </c:tx>
      <c:layout>
        <c:manualLayout>
          <c:xMode val="edge"/>
          <c:yMode val="edge"/>
          <c:x val="0.1436574074074074"/>
          <c:y val="1.986595425571803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1252732851651703"/>
          <c:y val="8.8025215894370415E-2"/>
          <c:w val="0.31569757704187096"/>
          <c:h val="0.8858686267899630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Лист1!$A$2:$A$21</c:f>
              <c:strCache>
                <c:ptCount val="20"/>
                <c:pt idx="0">
                  <c:v>Муниципальная программа «Развитие культуры в городе Ханты-Мансийске»</c:v>
                </c:pt>
                <c:pt idx="1">
                  <c:v>Муниципальная программа «Развитие физической культуры и спорта в городе Ханты-Мансийске»</c:v>
                </c:pt>
                <c:pt idx="2">
                  <c:v>Муниципальная программа «Проектирование и строительство инженерных сетей на территории города Ханты-Мансийска»</c:v>
                </c:pt>
                <c:pt idx="3">
                  <c:v>Муниципальная программа «Профилактика правонарушений в сфере обеспечения общественной безопасности и правопорядка в городе Ханты-Мансийске»</c:v>
                </c:pt>
                <c:pt idx="4">
                  <c:v>Муниципальная программа «Развитие муниципальной службы в городе Ханты-Мансийске»</c:v>
                </c:pt>
                <c:pt idx="5">
                  <c:v>Муниципальная программа «Основные направления развития в области управления и распоряжения муниципальной собственностью города Ханты-Мансийска»</c:v>
                </c:pt>
                <c:pt idx="6">
                  <c:v>Муниципальная программа «Развитие гражданского общества в городе Ханты-Мансийске»</c:v>
                </c:pt>
                <c:pt idx="7">
                  <c:v>Муниципальная программа "Развитие отдельных секторов экономики города Ханты-Мансийска"</c:v>
                </c:pt>
                <c:pt idx="8">
                  <c:v>Муниципальная программа «Доступная среда в городе Ханты-Мансийске» </c:v>
                </c:pt>
                <c:pt idx="9">
                  <c:v>Муниципальная программа «Развитие образования в городе Ханты-Мансийске»</c:v>
                </c:pt>
                <c:pt idx="10">
                  <c:v>Муниципальная программа «Обеспечение доступным и комфортным жильем жителей города Ханты-Мансийска»</c:v>
                </c:pt>
                <c:pt idx="11">
                  <c:v>Муниципальная программа «Развитие жилищно-коммунального комплекса  и повышение энергетической эффективности  в городе  Ханты-Мансийске»</c:v>
                </c:pt>
                <c:pt idx="12">
                  <c:v>Муниципальная программа «Защита населения и территории от чрезвычайных ситуаций, обеспечение пожарной безопасности города Ханты-Мансийска»</c:v>
                </c:pt>
                <c:pt idx="13">
                  <c:v>Муниципальная программа «Развитие транспортной системы города Ханты-Мансийска»</c:v>
                </c:pt>
                <c:pt idx="14">
                  <c:v>Муниципальная программа «Осуществление городом Ханты-Мансийском функций административного центра Ханты-Мансийского автономного округа – Югры»</c:v>
                </c:pt>
                <c:pt idx="15">
                  <c:v>Муниципальная программа «Обеспечение градостроительной деятельности на территории города Ханты-Мансийска»</c:v>
                </c:pt>
                <c:pt idx="16">
                  <c:v>Муниципальная программа «Развитие жилищного и дорожного хозяйства, благоустройство города Ханты-Мансийска»</c:v>
                </c:pt>
                <c:pt idx="17">
                  <c:v>Муниципальная программа «Управление муниципальными финансами города Ханты-Мансийска»</c:v>
                </c:pt>
                <c:pt idx="18">
                  <c:v>Муниципальная программа «Молодежь города Ханты-Мансийска»</c:v>
                </c:pt>
                <c:pt idx="19">
                  <c:v>Муниципальная программа «Содействие развитию садоводческих, огороднических некоммерческих объединений граждан города Ханты-Мансийска»</c:v>
                </c:pt>
              </c:strCache>
            </c:strRef>
          </c:cat>
          <c:val>
            <c:numRef>
              <c:f>Лист1!$B$2:$B$21</c:f>
              <c:numCache>
                <c:formatCode>0.00</c:formatCode>
                <c:ptCount val="20"/>
                <c:pt idx="0">
                  <c:v>10</c:v>
                </c:pt>
                <c:pt idx="1">
                  <c:v>9.8000000000000007</c:v>
                </c:pt>
                <c:pt idx="2">
                  <c:v>9.4600000000000009</c:v>
                </c:pt>
                <c:pt idx="3">
                  <c:v>9.3800000000000008</c:v>
                </c:pt>
                <c:pt idx="4">
                  <c:v>9.1800000000000015</c:v>
                </c:pt>
                <c:pt idx="5">
                  <c:v>9.08</c:v>
                </c:pt>
                <c:pt idx="6">
                  <c:v>8.93</c:v>
                </c:pt>
                <c:pt idx="7">
                  <c:v>8.93</c:v>
                </c:pt>
                <c:pt idx="8">
                  <c:v>8.81</c:v>
                </c:pt>
                <c:pt idx="9">
                  <c:v>8.73</c:v>
                </c:pt>
                <c:pt idx="10">
                  <c:v>8.7000000000000011</c:v>
                </c:pt>
                <c:pt idx="11">
                  <c:v>8.66</c:v>
                </c:pt>
                <c:pt idx="12">
                  <c:v>8.66</c:v>
                </c:pt>
                <c:pt idx="13">
                  <c:v>8.6</c:v>
                </c:pt>
                <c:pt idx="14">
                  <c:v>8.5</c:v>
                </c:pt>
                <c:pt idx="15">
                  <c:v>8.2100000000000009</c:v>
                </c:pt>
                <c:pt idx="16">
                  <c:v>8.16</c:v>
                </c:pt>
                <c:pt idx="17">
                  <c:v>8.16</c:v>
                </c:pt>
                <c:pt idx="18">
                  <c:v>8.1</c:v>
                </c:pt>
                <c:pt idx="19">
                  <c:v>7.8599999999999994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353664"/>
        <c:axId val="176355200"/>
      </c:barChart>
      <c:catAx>
        <c:axId val="176353664"/>
        <c:scaling>
          <c:orientation val="maxMin"/>
        </c:scaling>
        <c:delete val="0"/>
        <c:axPos val="l"/>
        <c:minorGridlines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176355200"/>
        <c:crosses val="autoZero"/>
        <c:auto val="1"/>
        <c:lblAlgn val="ctr"/>
        <c:lblOffset val="10"/>
        <c:tickMarkSkip val="20"/>
        <c:noMultiLvlLbl val="0"/>
      </c:catAx>
      <c:valAx>
        <c:axId val="176355200"/>
        <c:scaling>
          <c:orientation val="minMax"/>
          <c:max val="10"/>
        </c:scaling>
        <c:delete val="0"/>
        <c:axPos val="t"/>
        <c:majorGridlines/>
        <c:numFmt formatCode="0.00" sourceLinked="1"/>
        <c:majorTickMark val="out"/>
        <c:minorTickMark val="none"/>
        <c:tickLblPos val="none"/>
        <c:crossAx val="176353664"/>
        <c:crosses val="autoZero"/>
        <c:crossBetween val="between"/>
        <c:majorUnit val="1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tx2">
        <a:lumMod val="20000"/>
        <a:lumOff val="80000"/>
      </a:schemeClr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B4637-13D2-49C4-8A7A-FCF8B9C0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</TotalTime>
  <Pages>9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Чернятина</dc:creator>
  <cp:lastModifiedBy>Богданова Олеся Александровна</cp:lastModifiedBy>
  <cp:revision>4</cp:revision>
  <cp:lastPrinted>2019-05-30T10:44:00Z</cp:lastPrinted>
  <dcterms:created xsi:type="dcterms:W3CDTF">2021-02-09T10:27:00Z</dcterms:created>
  <dcterms:modified xsi:type="dcterms:W3CDTF">2021-04-29T05:17:00Z</dcterms:modified>
</cp:coreProperties>
</file>